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6549"/>
      </w:tblGrid>
      <w:tr w:rsidR="00C3480C" w:rsidTr="00C3480C">
        <w:trPr>
          <w:tblCellSpacing w:w="0" w:type="dxa"/>
          <w:jc w:val="center"/>
        </w:trPr>
        <w:tc>
          <w:tcPr>
            <w:tcW w:w="0" w:type="auto"/>
            <w:hideMark/>
          </w:tcPr>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Опубликовано 25 ноября 2013 г.</w:t>
            </w:r>
          </w:p>
          <w:p w:rsidR="00C3480C" w:rsidRDefault="00C3480C">
            <w:pPr>
              <w:spacing w:line="276" w:lineRule="auto"/>
              <w:jc w:val="center"/>
              <w:rPr>
                <w:rFonts w:eastAsia="Times New Roman" w:cs="Times New Roman"/>
                <w:szCs w:val="24"/>
                <w:lang w:eastAsia="ru-RU"/>
              </w:rPr>
            </w:pPr>
            <w:r>
              <w:rPr>
                <w:rFonts w:eastAsia="Times New Roman" w:cs="Times New Roman"/>
                <w:szCs w:val="24"/>
                <w:lang w:eastAsia="ru-RU"/>
              </w:rPr>
              <w:pict>
                <v:rect id="_x0000_i1025" style="width:467.75pt;height:.75pt" o:hralign="center" o:hrstd="t" o:hrnoshade="t" o:hr="t" fillcolor="#a7a6aa" stroked="f"/>
              </w:pic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tc>
      </w:tr>
      <w:tr w:rsidR="00C3480C" w:rsidTr="00C3480C">
        <w:trPr>
          <w:tblCellSpacing w:w="0" w:type="dxa"/>
          <w:jc w:val="center"/>
        </w:trPr>
        <w:tc>
          <w:tcPr>
            <w:tcW w:w="0" w:type="auto"/>
            <w:vAlign w:val="center"/>
            <w:hideMark/>
          </w:tcPr>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b/>
                <w:bCs/>
                <w:szCs w:val="24"/>
                <w:lang w:eastAsia="ru-RU"/>
              </w:rPr>
              <w:t>Зарегистрирован в Минюсте РФ 14 ноября 2013 г.</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b/>
                <w:bCs/>
                <w:szCs w:val="24"/>
                <w:lang w:eastAsia="ru-RU"/>
              </w:rPr>
              <w:t>Регистрационный N 30384</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rFonts w:eastAsia="Times New Roman" w:cs="Times New Roman"/>
                <w:b/>
                <w:bCs/>
                <w:szCs w:val="24"/>
                <w:lang w:eastAsia="ru-RU"/>
              </w:rPr>
              <w:t>приказываю:</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Утвердить прилагаемый федеральный государственный образовательный стандарт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Признать утратившими силу приказы Министерства образования и науки Российской Федерации: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w:t>
            </w:r>
            <w:r>
              <w:rPr>
                <w:rFonts w:eastAsia="Times New Roman" w:cs="Times New Roman"/>
                <w:szCs w:val="24"/>
                <w:lang w:eastAsia="ru-RU"/>
              </w:rPr>
              <w:lastRenderedPageBreak/>
              <w:t>Федерации 14 ноября 2011 г., регистрационный N 22303).</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Настоящий приказ вступает в силу с 1 января 2014 года.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b/>
                <w:bCs/>
                <w:szCs w:val="24"/>
                <w:lang w:eastAsia="ru-RU"/>
              </w:rPr>
              <w:t>Министр</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b/>
                <w:bCs/>
                <w:szCs w:val="24"/>
                <w:lang w:eastAsia="ru-RU"/>
              </w:rPr>
              <w:t>Д. Ливанов</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u w:val="single"/>
                <w:lang w:eastAsia="ru-RU"/>
              </w:rPr>
              <w:t>Приложение</w:t>
            </w:r>
          </w:p>
          <w:p w:rsidR="00C3480C" w:rsidRDefault="00C3480C">
            <w:pPr>
              <w:spacing w:before="100" w:beforeAutospacing="1" w:after="100" w:afterAutospacing="1" w:line="276" w:lineRule="auto"/>
              <w:outlineLvl w:val="3"/>
              <w:rPr>
                <w:rFonts w:eastAsia="Times New Roman" w:cs="Times New Roman"/>
                <w:b/>
                <w:bCs/>
                <w:szCs w:val="24"/>
                <w:lang w:eastAsia="ru-RU"/>
              </w:rPr>
            </w:pPr>
            <w:r>
              <w:rPr>
                <w:rFonts w:eastAsia="Times New Roman" w:cs="Times New Roman"/>
                <w:b/>
                <w:bCs/>
                <w:szCs w:val="24"/>
                <w:lang w:eastAsia="ru-RU"/>
              </w:rPr>
              <w:t>Федеральный государственный образовательный стандарт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b/>
                <w:bCs/>
                <w:szCs w:val="24"/>
                <w:lang w:eastAsia="ru-RU"/>
              </w:rPr>
              <w:t>I. Общие положения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1.2. Стандарт разработан на основе Конституции Российской Федерации</w:t>
            </w:r>
            <w:r>
              <w:rPr>
                <w:rFonts w:eastAsia="Times New Roman" w:cs="Times New Roman"/>
                <w:szCs w:val="24"/>
                <w:vertAlign w:val="superscript"/>
                <w:lang w:eastAsia="ru-RU"/>
              </w:rPr>
              <w:t>1</w:t>
            </w:r>
            <w:r>
              <w:rPr>
                <w:rFonts w:eastAsia="Times New Roman" w:cs="Times New Roman"/>
                <w:szCs w:val="24"/>
                <w:lang w:eastAsia="ru-RU"/>
              </w:rPr>
              <w:t xml:space="preserve"> и законодательства Российской Федерации и с учетом Конвенции ООН о правах ребенка</w:t>
            </w:r>
            <w:r>
              <w:rPr>
                <w:rFonts w:eastAsia="Times New Roman" w:cs="Times New Roman"/>
                <w:szCs w:val="24"/>
                <w:vertAlign w:val="superscript"/>
                <w:lang w:eastAsia="ru-RU"/>
              </w:rPr>
              <w:t>2</w:t>
            </w:r>
            <w:r>
              <w:rPr>
                <w:rFonts w:eastAsia="Times New Roman" w:cs="Times New Roman"/>
                <w:szCs w:val="24"/>
                <w:lang w:eastAsia="ru-RU"/>
              </w:rPr>
              <w:t>, в основе которых заложены следующие основные принципы: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w:t>
            </w:r>
            <w:r>
              <w:rPr>
                <w:rFonts w:eastAsia="Times New Roman" w:cs="Times New Roman"/>
                <w:szCs w:val="24"/>
                <w:lang w:eastAsia="ru-RU"/>
              </w:rPr>
              <w:lastRenderedPageBreak/>
              <w:t>следующему периоду;</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уважение личности ребенка;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1.3. В Стандарте учитываются: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возможности освоения ребенком Программы на разных этапах ее реализации.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1.4. Основные принципы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поддержка инициативы детей в различных видах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5) сотрудничество Организации с семьей;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6) приобщение детей к социокультурным нормам, традициям семьи, общества и государства;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7) формирование познавательных интересов и познавательных действий ребенка в различных видах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9) учет этнокультурной ситуации развития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1.5. Стандарт направлен на достижение следующих целей: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повышение социального статуса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1.6. Стандарт направлен на решение следующих задач:</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охраны и укрепления физического и психического здоровья детей, в том числе их эмоционального благополучия;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w:t>
            </w:r>
            <w:r>
              <w:rPr>
                <w:rFonts w:eastAsia="Times New Roman" w:cs="Times New Roman"/>
                <w:szCs w:val="24"/>
                <w:lang w:eastAsia="ru-RU"/>
              </w:rPr>
              <w:lastRenderedPageBreak/>
              <w:t>основных образовательных программ дошкольного и начального общего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1.7. Стандарт является основой для: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разработки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разработки вариативных примерных образовательных программ дошкольного образования (далее - примерные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3) разработки нормативов финансового обеспечения реализации Программы и нормативных затрат на оказание </w:t>
            </w:r>
            <w:r>
              <w:rPr>
                <w:rFonts w:eastAsia="Times New Roman" w:cs="Times New Roman"/>
                <w:szCs w:val="24"/>
                <w:lang w:eastAsia="ru-RU"/>
              </w:rPr>
              <w:lastRenderedPageBreak/>
              <w:t>государственной (муниципальной) услуги в сфере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объективной оценки соответствия образовательной деятельности Организации требованиям Стандарта;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1.8. Стандарт включает в себя требования к:</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структуре Программы и ее объему;</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условиям реализации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результатам освоения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b/>
                <w:bCs/>
                <w:szCs w:val="24"/>
                <w:lang w:eastAsia="ru-RU"/>
              </w:rPr>
              <w:t>II. Требования к структуре образовательной программы дошкольного образования и ее объему</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2.1. Программа определяет содержание и организацию образовательной деятельности на уровне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2.2. Структурные подразделения в одной Организации (далее - </w:t>
            </w:r>
            <w:r>
              <w:rPr>
                <w:rFonts w:eastAsia="Times New Roman" w:cs="Times New Roman"/>
                <w:szCs w:val="24"/>
                <w:lang w:eastAsia="ru-RU"/>
              </w:rPr>
              <w:lastRenderedPageBreak/>
              <w:t>Группы) могут реализовывать разные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2.4. Программа направлена на: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Pr>
                <w:rFonts w:eastAsia="Times New Roman" w:cs="Times New Roman"/>
                <w:szCs w:val="24"/>
                <w:vertAlign w:val="superscript"/>
                <w:lang w:eastAsia="ru-RU"/>
              </w:rPr>
              <w:t>3</w:t>
            </w:r>
            <w:r>
              <w:rPr>
                <w:rFonts w:eastAsia="Times New Roman" w:cs="Times New Roman"/>
                <w:szCs w:val="24"/>
                <w:lang w:eastAsia="ru-RU"/>
              </w:rPr>
              <w:t>.</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Программа может реализовываться в течение всего времени пребывания</w:t>
            </w:r>
            <w:r>
              <w:rPr>
                <w:rFonts w:eastAsia="Times New Roman" w:cs="Times New Roman"/>
                <w:szCs w:val="24"/>
                <w:vertAlign w:val="superscript"/>
                <w:lang w:eastAsia="ru-RU"/>
              </w:rPr>
              <w:t>4</w:t>
            </w:r>
            <w:r>
              <w:rPr>
                <w:rFonts w:eastAsia="Times New Roman" w:cs="Times New Roman"/>
                <w:szCs w:val="24"/>
                <w:lang w:eastAsia="ru-RU"/>
              </w:rPr>
              <w:t xml:space="preserve"> детей в Организации.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w:t>
            </w:r>
            <w:r>
              <w:rPr>
                <w:rFonts w:eastAsia="Times New Roman" w:cs="Times New Roman"/>
                <w:szCs w:val="24"/>
                <w:lang w:eastAsia="ru-RU"/>
              </w:rPr>
              <w:lastRenderedPageBreak/>
              <w:t>образования детей (далее - образовательные области):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социально-коммуникативное развитие;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познавательное развитие; речевое развитие;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художественно-эстетическое развитие;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физическое развитие.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w:t>
            </w:r>
            <w:r>
              <w:rPr>
                <w:rFonts w:eastAsia="Times New Roman" w:cs="Times New Roman"/>
                <w:szCs w:val="24"/>
                <w:lang w:eastAsia="ru-RU"/>
              </w:rPr>
              <w:lastRenderedPageBreak/>
              <w:t>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w:t>
            </w:r>
            <w:r>
              <w:rPr>
                <w:rFonts w:eastAsia="Times New Roman" w:cs="Times New Roman"/>
                <w:szCs w:val="24"/>
                <w:lang w:eastAsia="ru-RU"/>
              </w:rPr>
              <w:lastRenderedPageBreak/>
              <w:t>активность и тактильно-двигательные игры;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2.8. Содержание Программы должно отражать следующие аспекты образовательной среды для ребенка дошкольного возраста: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предметно-пространственная развивающая образовательная среда;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характер взаимодействия со взрослыми;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характер взаимодействия с другими детьми;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система отношений ребенка к миру, к другим людям, к себе самому.</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w:t>
            </w:r>
            <w:r>
              <w:rPr>
                <w:rFonts w:eastAsia="Times New Roman" w:cs="Times New Roman"/>
                <w:szCs w:val="24"/>
                <w:lang w:eastAsia="ru-RU"/>
              </w:rPr>
              <w:lastRenderedPageBreak/>
              <w:t>точки зрения реализации требований Стандарта.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2.11.1. Целевой раздел включает в себя пояснительную записку и планируемые результаты освоения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Пояснительная записка должна раскрывать:</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цели и задачи реализации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принципы и подходы к формированию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w:t>
            </w:r>
            <w:r>
              <w:rPr>
                <w:rFonts w:eastAsia="Times New Roman" w:cs="Times New Roman"/>
                <w:szCs w:val="24"/>
                <w:lang w:eastAsia="ru-RU"/>
              </w:rPr>
              <w:lastRenderedPageBreak/>
              <w:t>возможностями здоровья).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Содержательный раздел Программы должен включать:</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 содержательном разделе Программы должны быть представлены: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а) особенности образовательной деятельности разных видов и культурных практик;</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б) способы и направления поддержки детской инициативы;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 особенности взаимодействия педагогического коллектива с семьями воспитанников;</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г) иные характеристики содержания Программы, наиболее существенные с точки зрения авторов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Данная часть Программы должна учитывать образовательные потребности, интересы и мотивы детей, членов их семей и </w:t>
            </w:r>
            <w:r>
              <w:rPr>
                <w:rFonts w:eastAsia="Times New Roman" w:cs="Times New Roman"/>
                <w:szCs w:val="24"/>
                <w:lang w:eastAsia="ru-RU"/>
              </w:rPr>
              <w:lastRenderedPageBreak/>
              <w:t>педагогов и, в частности, может быть ориентирована на: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специфику национальных, социокультурных и иных условий, в которых осуществляется образовательная деятельность;</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сложившиеся традиции Организации или Группы.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Коррекционная работа и/или инклюзивное образование должны быть направлены на: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 краткой презентации Программы должны быть указаны: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используемые Примерные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3) характеристика взаимодействия педагогического коллектива </w:t>
            </w:r>
            <w:r>
              <w:rPr>
                <w:rFonts w:eastAsia="Times New Roman" w:cs="Times New Roman"/>
                <w:szCs w:val="24"/>
                <w:lang w:eastAsia="ru-RU"/>
              </w:rPr>
              <w:lastRenderedPageBreak/>
              <w:t>с семьями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b/>
                <w:bCs/>
                <w:szCs w:val="24"/>
                <w:lang w:eastAsia="ru-RU"/>
              </w:rPr>
              <w:t>III. Требования к условиям реализации основной образовательной программы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гарантирует охрану и укрепление физического и психического здоровья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обеспечивает эмоциональное благополучие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способствует профессиональному развитию педагогических работников;</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создает условия для развивающего вариативного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5) обеспечивает открытость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6) создает условия для участия родителей (законных представителей) в образовательной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3.2.1. Для успешной реализации Программы должны быть обеспечены следующие психолого-педагогические условия: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5) поддержка инициативы и самостоятельности детей в специфических для них видах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6) возможность выбора детьми материалов, видов активности, участников совместной деятельности и общения;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7) защита детей от всех форм физического и психического насилия</w:t>
            </w:r>
            <w:r>
              <w:rPr>
                <w:rFonts w:eastAsia="Times New Roman" w:cs="Times New Roman"/>
                <w:szCs w:val="24"/>
                <w:vertAlign w:val="superscript"/>
                <w:lang w:eastAsia="ru-RU"/>
              </w:rPr>
              <w:t>5</w:t>
            </w:r>
            <w:r>
              <w:rPr>
                <w:rFonts w:eastAsia="Times New Roman" w:cs="Times New Roman"/>
                <w:szCs w:val="24"/>
                <w:lang w:eastAsia="ru-RU"/>
              </w:rPr>
              <w:t>;</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оптимизации работы с группой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Участие ребенка в психологической диагностике допускается только с согласия его родителей (законных представителей).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3.2.4. Наполняемость Группы определяется с учетом возраста детей, их состояния здоровья, специфики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обеспечение эмоционального благополучия через:</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непосредственное общение с каждым ребенком;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уважительное отношение к каждому ребенку, к его чувствам и потребностям;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2) поддержку индивидуальности и инициативы детей через:</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создание условий для свободного выбора детьми деятельности, участников совместной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создание условий для принятия детьми решений, выражения своих чувств и мыслей;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установление правил взаимодействия в разных ситуациях:</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развитие коммуникативных способностей детей, позволяющих разрешать конфликтные ситуации со сверстниками;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развитие умения детей работать в группе сверстников;</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создание условий для овладения культурными средствами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поддержку спонтанной игры детей, ее обогащение, обеспечение игрового времени и пространства;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оценку индивидуального развития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5) взаимодействие с родителями (законными представителями) </w:t>
            </w:r>
            <w:r>
              <w:rPr>
                <w:rFonts w:eastAsia="Times New Roman" w:cs="Times New Roman"/>
                <w:szCs w:val="24"/>
                <w:lang w:eastAsia="ru-RU"/>
              </w:rPr>
              <w:lastRenderedPageBreak/>
              <w:t>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3.2.6. В целях эффективной реализации Программы должны быть созданы условия для: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3.2.8. Организация должна создавать возможности: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3) для обсуждения с родителями (законными представителями) </w:t>
            </w:r>
            <w:r>
              <w:rPr>
                <w:rFonts w:eastAsia="Times New Roman" w:cs="Times New Roman"/>
                <w:szCs w:val="24"/>
                <w:lang w:eastAsia="ru-RU"/>
              </w:rPr>
              <w:lastRenderedPageBreak/>
              <w:t>детей вопросов, связанных с реализацией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3.3.Требования к развивающей предметно-пространственной среде.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3.3.3. Развивающая предметно-пространственная среда должна обеспечивать:</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реализацию различных образовательных программ;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 случае организации инклюзивного образования - необходимые для него условия;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3.3.4. Развивающая предметно-пространственная среда должна </w:t>
            </w:r>
            <w:r>
              <w:rPr>
                <w:rFonts w:eastAsia="Times New Roman" w:cs="Times New Roman"/>
                <w:szCs w:val="24"/>
                <w:lang w:eastAsia="ru-RU"/>
              </w:rPr>
              <w:lastRenderedPageBreak/>
              <w:t>быть содержательно-насыщенной, трансформируемой, полифункциональной, вариативной, доступной и безопасной.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Насыщенность среды должна соответствовать возрастным возможностям детей и содержанию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двигательную активность, в том числе развитие крупной и мелкой моторики, участие в подвижных играх и соревнованиях;</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эмоциональное благополучие детей во взаимодействии с предметно-пространственным окружением;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возможность самовыражения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Полифункциональность материалов предполагает:</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Вариативность среды предполагает:</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5) Доступность среды предполагает:</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исправность и сохранность материалов и оборудования.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3.4. Требования к кадровым условиям реализации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w:t>
            </w:r>
            <w:r>
              <w:rPr>
                <w:rFonts w:eastAsia="Times New Roman" w:cs="Times New Roman"/>
                <w:szCs w:val="24"/>
                <w:lang w:eastAsia="ru-RU"/>
              </w:rPr>
              <w:lastRenderedPageBreak/>
              <w:t>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3.4.4. При организации инклюзивного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Pr>
                <w:rFonts w:eastAsia="Times New Roman" w:cs="Times New Roman"/>
                <w:szCs w:val="24"/>
                <w:vertAlign w:val="superscript"/>
                <w:lang w:eastAsia="ru-RU"/>
              </w:rPr>
              <w:t>6</w:t>
            </w:r>
            <w:r>
              <w:rPr>
                <w:rFonts w:eastAsia="Times New Roman" w:cs="Times New Roman"/>
                <w:szCs w:val="24"/>
                <w:lang w:eastAsia="ru-RU"/>
              </w:rPr>
              <w:t>, могут быть привлечены дополнительные педагогические работники, имеющие соответствующую квалификацию.</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3.5.1. Требования к материально-техническим условиям реализации Программы включают:</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требования, определяемые в соответствии с санитарно-эпидемиологическими правилами и нормативами;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требования, определяемые в соответствии с правилами пожарной безопасности;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 оснащенность помещений развивающей предметно-пространственной средой;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3.6. Требования к финансовым условиям реализации основной образовательной программы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w:t>
            </w:r>
            <w:r>
              <w:rPr>
                <w:rFonts w:eastAsia="Times New Roman" w:cs="Times New Roman"/>
                <w:szCs w:val="24"/>
                <w:lang w:eastAsia="ru-RU"/>
              </w:rPr>
              <w:lastRenderedPageBreak/>
              <w:t>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3.6.2. Финансовые условия реализации Программы должны: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1) обеспечивать возможность выполнения требований Стандарта к условиям реализации и структуре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3) отражать структуру и объем расходов, необходимых для реализации Программы, а также механизм их формирования.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w:t>
            </w:r>
            <w:r>
              <w:rPr>
                <w:rFonts w:eastAsia="Times New Roman" w:cs="Times New Roman"/>
                <w:szCs w:val="24"/>
                <w:lang w:eastAsia="ru-RU"/>
              </w:rPr>
              <w:lastRenderedPageBreak/>
              <w:t>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расходов на оплату труда работников, реализующих Программу;</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иных расходов, связанных с реализацией и обеспечением реализации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b/>
                <w:bCs/>
                <w:szCs w:val="24"/>
                <w:lang w:eastAsia="ru-RU"/>
              </w:rPr>
              <w:t>IV. Требования к результатам освоения основной образовательной программы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Pr>
                <w:rFonts w:eastAsia="Times New Roman" w:cs="Times New Roman"/>
                <w:szCs w:val="24"/>
                <w:vertAlign w:val="superscript"/>
                <w:lang w:eastAsia="ru-RU"/>
              </w:rPr>
              <w:t>7</w:t>
            </w:r>
            <w:r>
              <w:rPr>
                <w:rFonts w:eastAsia="Times New Roman" w:cs="Times New Roman"/>
                <w:szCs w:val="24"/>
                <w:lang w:eastAsia="ru-RU"/>
              </w:rPr>
              <w:t>. Освоение Программы не сопровождается проведением промежуточных аттестаций и итоговой аттестации воспитанников</w:t>
            </w:r>
            <w:r>
              <w:rPr>
                <w:rFonts w:eastAsia="Times New Roman" w:cs="Times New Roman"/>
                <w:szCs w:val="24"/>
                <w:vertAlign w:val="superscript"/>
                <w:lang w:eastAsia="ru-RU"/>
              </w:rPr>
              <w:t>8</w:t>
            </w:r>
            <w:r>
              <w:rPr>
                <w:rFonts w:eastAsia="Times New Roman" w:cs="Times New Roman"/>
                <w:szCs w:val="24"/>
                <w:lang w:eastAsia="ru-RU"/>
              </w:rPr>
              <w:t>.</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4.4. Настоящие требования являются ориентирами для: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б) решения задач:</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формирования Программы;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анализа профессиональной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взаимодействия с семьями;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в) изучения характеристик образования детей в возрасте от 2 месяцев до 8 лет;</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4.5. Целевые ориентиры не могут служить непосредственным основанием при решении управленческих задач, включая: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аттестацию педагогических кадров;</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оценку качества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распределение стимулирующего фонда оплаты труда работников Организации.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Целевые ориентиры образования в младенческом и раннем возрасте:</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проявляет интерес к сверстникам; наблюдает за их действиями и подражает им;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у ребенка развита крупная моторика, он стремится осваивать различные виды движения (бег, лазанье, перешагивание и пр.).</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Целевые ориентиры на этапе завершения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ребенок достаточно хорошо владеет устной речью, может </w:t>
            </w:r>
            <w:r>
              <w:rPr>
                <w:rFonts w:eastAsia="Times New Roman" w:cs="Times New Roman"/>
                <w:szCs w:val="24"/>
                <w:lang w:eastAsia="ru-RU"/>
              </w:rPr>
              <w:lastRenderedPageBreak/>
              <w:t>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i/>
                <w:iCs/>
                <w:szCs w:val="24"/>
                <w:vertAlign w:val="superscript"/>
                <w:lang w:eastAsia="ru-RU"/>
              </w:rPr>
              <w:t>1</w:t>
            </w:r>
            <w:r>
              <w:rPr>
                <w:rFonts w:eastAsia="Times New Roman" w:cs="Times New Roman"/>
                <w:i/>
                <w:iCs/>
                <w:szCs w:val="24"/>
                <w:lang w:eastAsia="ru-RU"/>
              </w:rPr>
              <w:t xml:space="preserve"> Российская газета, 25 декабря 1993 г.; Собрание законодательства Российской Федерации, 2009, N 1, ст. 1, ст. </w:t>
            </w:r>
            <w:r>
              <w:rPr>
                <w:rFonts w:eastAsia="Times New Roman" w:cs="Times New Roman"/>
                <w:i/>
                <w:iCs/>
                <w:szCs w:val="24"/>
                <w:lang w:eastAsia="ru-RU"/>
              </w:rPr>
              <w:lastRenderedPageBreak/>
              <w:t>2.</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i/>
                <w:iCs/>
                <w:szCs w:val="24"/>
                <w:vertAlign w:val="superscript"/>
                <w:lang w:eastAsia="ru-RU"/>
              </w:rPr>
              <w:t>2</w:t>
            </w:r>
            <w:r>
              <w:rPr>
                <w:rFonts w:eastAsia="Times New Roman" w:cs="Times New Roman"/>
                <w:i/>
                <w:iCs/>
                <w:szCs w:val="24"/>
                <w:lang w:eastAsia="ru-RU"/>
              </w:rPr>
              <w:t xml:space="preserve"> Сборник международных договоров СССР, 1993, выпуск XLVI.</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i/>
                <w:iCs/>
                <w:szCs w:val="24"/>
                <w:vertAlign w:val="superscript"/>
                <w:lang w:eastAsia="ru-RU"/>
              </w:rPr>
              <w:t>3</w:t>
            </w:r>
            <w:r>
              <w:rPr>
                <w:rFonts w:eastAsia="Times New Roman" w:cs="Times New Roman"/>
                <w:i/>
                <w:iCs/>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i/>
                <w:iCs/>
                <w:szCs w:val="24"/>
                <w:vertAlign w:val="superscript"/>
                <w:lang w:eastAsia="ru-RU"/>
              </w:rPr>
              <w:t>4</w:t>
            </w:r>
            <w:r>
              <w:rPr>
                <w:rFonts w:eastAsia="Times New Roman" w:cs="Times New Roman"/>
                <w:i/>
                <w:iCs/>
                <w:szCs w:val="24"/>
                <w:lang w:eastAsia="ru-RU"/>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i/>
                <w:iCs/>
                <w:szCs w:val="24"/>
                <w:vertAlign w:val="superscript"/>
                <w:lang w:eastAsia="ru-RU"/>
              </w:rPr>
              <w:t>5</w:t>
            </w:r>
            <w:r>
              <w:rPr>
                <w:rFonts w:eastAsia="Times New Roman" w:cs="Times New Roman"/>
                <w:i/>
                <w:iCs/>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i/>
                <w:iCs/>
                <w:szCs w:val="24"/>
                <w:vertAlign w:val="superscript"/>
                <w:lang w:eastAsia="ru-RU"/>
              </w:rPr>
              <w:t>6</w:t>
            </w:r>
            <w:r>
              <w:rPr>
                <w:rFonts w:eastAsia="Times New Roman" w:cs="Times New Roman"/>
                <w:i/>
                <w:iCs/>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i/>
                <w:iCs/>
                <w:szCs w:val="24"/>
                <w:vertAlign w:val="superscript"/>
                <w:lang w:eastAsia="ru-RU"/>
              </w:rPr>
              <w:t>7</w:t>
            </w:r>
            <w:r>
              <w:rPr>
                <w:rFonts w:eastAsia="Times New Roman" w:cs="Times New Roman"/>
                <w:i/>
                <w:iCs/>
                <w:szCs w:val="24"/>
                <w:lang w:eastAsia="ru-RU"/>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i/>
                <w:iCs/>
                <w:szCs w:val="24"/>
                <w:vertAlign w:val="superscript"/>
                <w:lang w:eastAsia="ru-RU"/>
              </w:rPr>
              <w:t>8</w:t>
            </w:r>
            <w:r>
              <w:rPr>
                <w:rFonts w:eastAsia="Times New Roman" w:cs="Times New Roman"/>
                <w:i/>
                <w:iCs/>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tc>
      </w:tr>
      <w:tr w:rsidR="00C3480C" w:rsidTr="00C3480C">
        <w:trPr>
          <w:tblCellSpacing w:w="0" w:type="dxa"/>
          <w:jc w:val="center"/>
        </w:trPr>
        <w:tc>
          <w:tcPr>
            <w:tcW w:w="0" w:type="auto"/>
            <w:vAlign w:val="center"/>
            <w:hideMark/>
          </w:tcPr>
          <w:p w:rsidR="00C3480C" w:rsidRDefault="00C3480C">
            <w:pPr>
              <w:spacing w:line="276" w:lineRule="auto"/>
              <w:jc w:val="center"/>
              <w:rPr>
                <w:rFonts w:eastAsia="Times New Roman" w:cs="Times New Roman"/>
                <w:szCs w:val="24"/>
                <w:lang w:eastAsia="ru-RU"/>
              </w:rPr>
            </w:pPr>
            <w:r>
              <w:rPr>
                <w:rFonts w:eastAsia="Times New Roman" w:cs="Times New Roman"/>
                <w:szCs w:val="24"/>
                <w:lang w:eastAsia="ru-RU"/>
              </w:rPr>
              <w:lastRenderedPageBreak/>
              <w:pict>
                <v:rect id="_x0000_i1026" style="width:467.75pt;height:.75pt" o:hralign="center" o:hrstd="t" o:hrnoshade="t" o:hr="t" fillcolor="#a7a6aa" stroked="f"/>
              </w:pict>
            </w:r>
          </w:p>
        </w:tc>
      </w:tr>
      <w:tr w:rsidR="00C3480C" w:rsidTr="00C3480C">
        <w:trPr>
          <w:trHeight w:val="75"/>
          <w:tblCellSpacing w:w="0" w:type="dxa"/>
          <w:jc w:val="center"/>
        </w:trPr>
        <w:tc>
          <w:tcPr>
            <w:tcW w:w="0" w:type="auto"/>
            <w:shd w:val="clear" w:color="auto" w:fill="000000"/>
            <w:vAlign w:val="center"/>
            <w:hideMark/>
          </w:tcPr>
          <w:p w:rsidR="00C3480C" w:rsidRDefault="00C3480C">
            <w:pPr>
              <w:spacing w:line="75" w:lineRule="atLeast"/>
              <w:rPr>
                <w:rFonts w:eastAsia="Times New Roman" w:cs="Times New Roman"/>
                <w:szCs w:val="24"/>
                <w:lang w:eastAsia="ru-RU"/>
              </w:rPr>
            </w:pPr>
            <w:r>
              <w:rPr>
                <w:rFonts w:eastAsia="Times New Roman" w:cs="Times New Roman"/>
                <w:noProof/>
                <w:szCs w:val="24"/>
                <w:lang w:eastAsia="ru-RU"/>
              </w:rPr>
              <w:drawing>
                <wp:inline distT="0" distB="0" distL="0" distR="0">
                  <wp:extent cx="9525" cy="9525"/>
                  <wp:effectExtent l="0" t="0" r="0" b="0"/>
                  <wp:docPr id="3" name="Рисунок 3"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rg.ru/img/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3480C" w:rsidTr="00C3480C">
        <w:trPr>
          <w:trHeight w:val="15"/>
          <w:tblCellSpacing w:w="0" w:type="dxa"/>
          <w:jc w:val="center"/>
        </w:trPr>
        <w:tc>
          <w:tcPr>
            <w:tcW w:w="0" w:type="auto"/>
            <w:vAlign w:val="center"/>
            <w:hideMark/>
          </w:tcPr>
          <w:p w:rsidR="00C3480C" w:rsidRDefault="00C3480C">
            <w:pPr>
              <w:spacing w:line="15" w:lineRule="atLeast"/>
              <w:rPr>
                <w:rFonts w:eastAsia="Times New Roman" w:cs="Times New Roman"/>
                <w:szCs w:val="24"/>
                <w:lang w:eastAsia="ru-RU"/>
              </w:rPr>
            </w:pPr>
            <w:r>
              <w:rPr>
                <w:rFonts w:eastAsia="Times New Roman" w:cs="Times New Roman"/>
                <w:noProof/>
                <w:szCs w:val="24"/>
                <w:lang w:eastAsia="ru-RU"/>
              </w:rPr>
              <w:drawing>
                <wp:inline distT="0" distB="0" distL="0" distR="0">
                  <wp:extent cx="9525" cy="9525"/>
                  <wp:effectExtent l="0" t="0" r="0" b="0"/>
                  <wp:docPr id="4" name="Рисунок 4"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rg.ru/img/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3480C" w:rsidTr="00C3480C">
        <w:trPr>
          <w:tblCellSpacing w:w="0" w:type="dxa"/>
          <w:jc w:val="center"/>
        </w:trPr>
        <w:tc>
          <w:tcPr>
            <w:tcW w:w="0" w:type="auto"/>
            <w:shd w:val="clear" w:color="auto" w:fill="CCCCCC"/>
            <w:vAlign w:val="center"/>
            <w:hideMark/>
          </w:tcPr>
          <w:tbl>
            <w:tblPr>
              <w:tblW w:w="5000" w:type="pct"/>
              <w:tblCellSpacing w:w="0" w:type="dxa"/>
              <w:tblCellMar>
                <w:top w:w="150" w:type="dxa"/>
                <w:left w:w="150" w:type="dxa"/>
                <w:bottom w:w="150" w:type="dxa"/>
                <w:right w:w="150" w:type="dxa"/>
              </w:tblCellMar>
              <w:tblLook w:val="04A0"/>
            </w:tblPr>
            <w:tblGrid>
              <w:gridCol w:w="6549"/>
            </w:tblGrid>
            <w:tr w:rsidR="00C3480C">
              <w:trPr>
                <w:tblCellSpacing w:w="0" w:type="dxa"/>
              </w:trPr>
              <w:tc>
                <w:tcPr>
                  <w:tcW w:w="0" w:type="auto"/>
                  <w:vAlign w:val="center"/>
                  <w:hideMark/>
                </w:tcPr>
                <w:p w:rsidR="00C3480C" w:rsidRDefault="00C3480C">
                  <w:pPr>
                    <w:spacing w:before="100" w:beforeAutospacing="1" w:after="100" w:afterAutospacing="1" w:line="276" w:lineRule="auto"/>
                    <w:rPr>
                      <w:rFonts w:eastAsia="Times New Roman" w:cs="Times New Roman"/>
                      <w:szCs w:val="24"/>
                      <w:lang w:eastAsia="ru-RU"/>
                    </w:rPr>
                  </w:pPr>
                  <w:r>
                    <w:rPr>
                      <w:rFonts w:eastAsia="Times New Roman" w:cs="Times New Roman"/>
                      <w:szCs w:val="24"/>
                      <w:lang w:eastAsia="ru-RU"/>
                    </w:rPr>
                    <w:t xml:space="preserve">© 1998-2013 "Российская газета" </w:t>
                  </w:r>
                </w:p>
              </w:tc>
            </w:tr>
          </w:tbl>
          <w:p w:rsidR="00C3480C" w:rsidRDefault="00C3480C">
            <w:pPr>
              <w:spacing w:line="276" w:lineRule="auto"/>
              <w:rPr>
                <w:rFonts w:asciiTheme="minorHAnsi" w:eastAsiaTheme="minorEastAsia" w:hAnsiTheme="minorHAnsi" w:cs="Times New Roman"/>
                <w:sz w:val="22"/>
                <w:lang w:eastAsia="ru-RU"/>
              </w:rPr>
            </w:pPr>
          </w:p>
        </w:tc>
      </w:tr>
    </w:tbl>
    <w:p w:rsidR="00C3480C" w:rsidRDefault="00C3480C" w:rsidP="00C3480C"/>
    <w:p w:rsidR="0026476D" w:rsidRDefault="0026476D"/>
    <w:sectPr w:rsidR="0026476D" w:rsidSect="00264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480C"/>
    <w:rsid w:val="0026476D"/>
    <w:rsid w:val="00C34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80C"/>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80C"/>
    <w:rPr>
      <w:rFonts w:ascii="Tahoma" w:hAnsi="Tahoma" w:cs="Tahoma"/>
      <w:sz w:val="16"/>
      <w:szCs w:val="16"/>
    </w:rPr>
  </w:style>
  <w:style w:type="character" w:customStyle="1" w:styleId="a4">
    <w:name w:val="Текст выноски Знак"/>
    <w:basedOn w:val="a0"/>
    <w:link w:val="a3"/>
    <w:uiPriority w:val="99"/>
    <w:semiHidden/>
    <w:rsid w:val="00C34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60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8128</Words>
  <Characters>46334</Characters>
  <Application>Microsoft Office Word</Application>
  <DocSecurity>0</DocSecurity>
  <Lines>386</Lines>
  <Paragraphs>108</Paragraphs>
  <ScaleCrop>false</ScaleCrop>
  <Company>Великие Луки</Company>
  <LinksUpToDate>false</LinksUpToDate>
  <CharactersWithSpaces>54354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2013-11-26T06:08:00Z</dcterms:created>
  <dcterms:modified xsi:type="dcterms:W3CDTF">2013-11-26T06:08:00Z</dcterms:modified>
</cp:coreProperties>
</file>