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CC" w:rsidRPr="006716CC" w:rsidRDefault="006716CC" w:rsidP="0067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государственной итоговой аттестации выпускников</w:t>
      </w:r>
      <w:r w:rsidR="00483C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7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9 -х классов в 2016 году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проведения ОГЭ в 2016 году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проведения ГИА 9 – основной государственный экзамен (ОГЭ) и государственный выпускной экзамен (ГВЭ). При пров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дении ГИА в форме ОГЭ используются 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КИМы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Форма ГВЭ - в виде письменных и устных экзаменов с испол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зованием текстов, тем, заданий, билетов, для категории обучающихся:</w:t>
      </w:r>
    </w:p>
    <w:p w:rsidR="006716CC" w:rsidRPr="006716CC" w:rsidRDefault="006716CC" w:rsidP="006716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с ограниченными возможностями здоровья;</w:t>
      </w:r>
    </w:p>
    <w:p w:rsidR="006716CC" w:rsidRPr="006716CC" w:rsidRDefault="006716CC" w:rsidP="006716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выпускники специальных учебно-воспитательных учреждений закрытого типа для детей и подростков с 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поведением;</w:t>
      </w:r>
    </w:p>
    <w:p w:rsidR="006716CC" w:rsidRPr="006716CC" w:rsidRDefault="006716CC" w:rsidP="006716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выпускники образовательных учреждений уголовно-исполнительной системы.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этой группы выпускников формы государственной итоговой аттестации могут сочетаться. Выбранные форма (формы) гос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дарственной итоговой аттестации и предметы, по которым выпускник планирует сдавать экзамены, указывается им в заявлении. (Данная категория 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копию справки МСЭ, инвалидности). Для учащихся с ограниченными возможн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стями здоровья продолжительность экзамена увеличивается на 1,5 часа.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ГИА допускаются обучающиеся, не имеющие академической задолженности и в полном объёме выполнившие учебный план (имеющие годовые отметки по всем предметам за 9 класс не ниже </w:t>
      </w:r>
      <w:proofErr w:type="gramStart"/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удовлетворительных</w:t>
      </w:r>
      <w:proofErr w:type="gramEnd"/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Участники ГИА 9 сдают обязательные экзамены – русский язык и математику.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Экзамены: литературу, физику, химию, биологию, географию, историю, обществознание, информатику и ИКТ, иностра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ные яз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 – обучающиеся выбирают 2 предмет</w:t>
      </w:r>
      <w:proofErr w:type="gramStart"/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а(</w:t>
      </w:r>
      <w:proofErr w:type="gramEnd"/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выбор обязателен).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получение аттестата в 2016 году влияет только успешная сдача обязательных предметов (математики, русского яз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ка).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Выбранные 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учебные предметы указываются в заявлении, которое он подает в образовательную организ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цию до 01 марта 2016 года.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 вправе изменить (дополнить) перечень указанных в заявлении экзаменов только при наличии у них уваж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тельных причин (болезни или иных обстоятельств, подтвержденных документально). В этом случае обучающийся подает заявление в го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ударственную экзаменационную комиссию (ГЭК) с указанием измененного перечня учебных предметов, по которым он планир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ет пройти ГИА, и причины изменения заявленного ранее перечня. Такое заявление подается не позднее, чем за месяц до начала соответствующих экзаменов.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институтом педагогических измерений по заданию 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Рособрнадзора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разработаны задания для ГИА 9 и ра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мещены  в открытом доступе в сети Интернет на сайте ФИПИ. В настоящее время открытый банк содержит около 40 тысяч заданий ГИА 9 по всем предметам.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целях обеспечения безопасности, обеспечения порядка проведения и предотвращения фактов нарушения порядка провед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ОГЭ пункты проведения экзамена (ППЭ) в 2016 году оборудуются переносными металлоискателями.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день экзамена участник ОГЭ должен прибыть в ППЭ не менее чем за 45 минут до его начала.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Допуск участников ОГЭ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данный ППЭ. </w:t>
      </w: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Свидетельство о рождении документом, удостоверя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личность, не является. При отсутств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у у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частника ОГЭ документа, удостоверяющего личность, предупредите администрацию образовател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организации.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день экзамена участнику ОГЭ в ППЭ запрещается иметь при себе </w:t>
      </w: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</w:t>
      </w: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формации.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 взять с собой на экзамен только необходимые вещи. Необходимые личные вещи участники ОГЭ обязаны оставить в специально выделенном в аудитории месте.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Во время экзамена участники ОГЭ не имеют права общаться друг с другом, свободно перемещаться по аудитории и ППЭ; 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ходить из аудитории без разрешения организатора.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выходе из аудитории во время экзамена участник ОГЭ должен оставить экзаменационные материалы и черновики на раб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чем столе. Запрещено выносить из аудиторий и ППЭ экзаменационные материалы или фотографировать их.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Участники ОГЭ, допустившие нарушение указанных требований или иное нарушение установленного порядка пров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 ОГЭ, удаляются с экзамена. По данному факту лицами, ответственными за проведение ОГЭ в ППЭ, составляется акт, который передаётся на рассмотрение председателю ГЭК. Если факт нарушения участником ОГЭ порядка проведения экзамена подтве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ждается, председатель ГЭК принимает решение об аннулировании результатов участника ОГЭ по соо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ветствующему предмету. К дальнейшей сдаче экзамена по этому предмету участник в текущем году не допускается.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Экзаменационная работа выполняется 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гелевой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ручкой с чернилами черного цвета.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Участник ОГЭ может при выполнении работы использовать черновики и делать пометки 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КИМ. </w:t>
      </w: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Черновики и КИМ не проверяются и записи в них не учитываются при обработке!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10. Участник ОГЭ, который по состоянию здоровья или другим объективным причинам не может завершить выполнение экзам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резервные дни.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11. Участник ОГЭ, завершивший выполнение экзаменационной работы раньше установленного времени окончания экз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мена, имеет право сдать ее организаторам и покинуть ППЭ, не дожидаясь завершения окончания экзамена.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12. Результаты экзаменов по каждому предмету 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шение было совершено участником ОГЭ, его результаты аннулируются без предоставления возмо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ности пересдать экзамен в текущем году.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13. Ознакомление участников ОГЭ с полученными ими результатами ОГЭ по общеобразовательному предмету ос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ществляется не позднее трех рабочих дней со дня их утверждения председателем ГЭК.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14. Участники ОГЭ - выпускники текущего учебного года, получившие неудовлетворительный результат по русскому языку или математике, могут быть допущены, по решению ГЭК, повторно к сдаче экзамена по данному предмету (только по одному) в 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кущем году в дополнительные сроки.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15. Участник ОГЭ имеет право подать апелляцию о несогласии с выставленными баллами в конфликтную комиссию. Апелляция о несогласии с выставленными баллами подается в течение двух рабочих дней со дня объявления результатов экзамена по соо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ветствующему общеобразовательному предмету. Обучающиеся подают апелляцию о несогласии с 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ставленными баллами в конфликтную комиссию или в образовательную организацию, которой они были допущены к ГИА.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16. Апелляцию о нарушении установленного порядка проведения экзамена участник ОГЭ подает в день проведения э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замена члену ГЭК, не покидая ППЭ.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17. В случае удовлетворения конфликтной комиссией апелляции участника ОГЭ о нарушении установленного порядка провед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экзамена, председатель ГЭК принимает решение об аннулировании результата экзамена данного участника ОГЭ по соотве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ствующему общеобразовательному предмету, а также о его допуске к экзаменам в дополнительные ср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18. При установлении фактов нарушения установленного порядка проведения экзамена, которые могли повлечь за собой искаж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результатов экзаменов всех участников ОГЭ, председатель ГЭК принимает решение об аннулировании 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зультатов ГИА по соответствующему учебному предмету для всех участников ОГЭ и о допуске к экзаменам в дополн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тельные сроки участников ОГЭ, непричастных к фактам выявленных нарушений.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19. В случае удовлетворения конфликтной комиссией апелляции участника ОГЭ о несогласии с выставленными баллами прин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мается решение об изменении результата экзамена. В случае отклонения апелляции участника ОГЭ о несогласии с выставленн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баллами результат, который был до апелляции, сохраняется.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Во время экзамена на рабочем столе участника ОГЭ могут находиться только: ручка; документ, удостоверяющий личность; средства, разрешённые для использования на экзамене по некоторым предметам; лекарства и питание - при необходимости для детей ОВЗ.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21. По решению ГЭК повторно допускаются к сдаче экзаменов в текущем году по соответствующему предмету в резервные ср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 следующие обучающиеся: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получившие на ГИА неудовлетворительный результат по одному из обязательных предметов;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явившиеся на экзамены по уважительным причинам (болезнь или иные обстоятельства, подтверждённые докуме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тально);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завершившие выполнение экзаменационной работы по уважительным причинам (болезнь или иные обстоятельства, по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тверждённые документально);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апелляция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о нарушениях установленного порядка проведения ОГЭ конфликтной комиссией была удовлетв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рена.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Данная информация была подготовлена в соответствии с нормативными правовыми документами, регламентирующими пров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дение ОГЭ: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1. Федеральным законом от 29.12.2012 № 273-ФЗ «Об образовании в Российской Федерации».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2. </w:t>
      </w:r>
      <w:proofErr w:type="gramStart"/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мы основного общего и среднего общего образования, и приема граждан в образовательные организ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ции для получения среднего профессионального и высшего образования и региональных информационных системах обе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печения проведения государственной итоговой аттестации обучающихся, освоивших основные образовательные пр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граммы основного общего и среднего общего образования».</w:t>
      </w:r>
      <w:proofErr w:type="gramEnd"/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3. Приказом Министерства образования и науки Российской Федерации от 28.06.2013 № 491 «Об утверждении порядка аккр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дитации граждан в качестве общественных наблюдателей при проведении государственной итоговой аттестации по образ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4. Приказом Министерства образования и науки Российской Федерации от 25.12.2013 № 1394 «Об утверждении Порядка пр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ведения государственной итоговой аттестации по образовательным программам основного общего образов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ния».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Проект нового расписания от </w:t>
      </w:r>
      <w:proofErr w:type="spellStart"/>
      <w:r w:rsidRPr="006716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Рособрнадзора</w:t>
      </w:r>
      <w:proofErr w:type="spellEnd"/>
      <w:r w:rsidRPr="006716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Досрочный период: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20 апреля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русский язык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22 апреля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география, история, биология, физика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25 апреля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пн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математика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27 апреля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иностранные языки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28 апреля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обществознание, химия, информатика и ИКТ, литература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Резервные дни: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4 мая (ср) география, история, биология, литература, физика обществознание, химия, информатика и ИКТ, иностранные языки </w:t>
      </w:r>
      <w:proofErr w:type="gramEnd"/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 мая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русский язык, математика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 мая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по всем предметам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Основной период: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26 мая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иностранные языки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28 мая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сб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иностранные языки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31 мая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математика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 июня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русский язык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 июня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обществознание, химия, информатика и ИКТ, литература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9 июня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география, история, биология, физика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Резервные дни: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15 июня (ср) обществознание, химия, информатика и ИКТ, литература, география, история, биология, физика, иностранные яз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ы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ки </w:t>
      </w:r>
      <w:proofErr w:type="gramEnd"/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17 июня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русский язык, математика 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21 июня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по всем предметам 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Дополнительный период (август):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 августа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пн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русский язык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 августа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география, история, биология, физика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 августа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иностранные языки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8 августа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пн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математика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 августа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обществознание, химия, информатика и ИКТ, литература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Резервные дни: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12 августа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русский язык, математика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13 августа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сб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география, история, биология, литература, физика ,обществознание, химия, иностранные языки, информ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тика и ИКТ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Дополнительный период (сентябрь):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 сентября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пн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русский язык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 сентября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география, история, биология, физика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9 сентября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иностранные языки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12 сентября (</w:t>
      </w:r>
      <w:proofErr w:type="spellStart"/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пн</w:t>
      </w:r>
      <w:proofErr w:type="spellEnd"/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математика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14 сентября (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обществознание, химия, информатика и ИКТ, литература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Резервные дни: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сентября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резерв: русский язык, математика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16 сентября (</w:t>
      </w:r>
      <w:proofErr w:type="spell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пт</w:t>
      </w:r>
      <w:proofErr w:type="spell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резерв: география, история, биология, литература, физика</w:t>
      </w:r>
      <w:proofErr w:type="gramStart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обществознание, химия, иностранные языки, инфо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</w:t>
      </w:r>
      <w:r w:rsidRPr="006716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матика и ИКТ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 </w:t>
      </w:r>
      <w:hyperlink r:id="rId6" w:history="1">
        <w:r w:rsidRPr="006716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http://4ege.ru/gia-in-9/51369-proekt-raspisaniya-oge-2016.html</w:t>
        </w:r>
      </w:hyperlink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Начало экзаменов в 10.00 по местному времени.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экзамене по русскому языку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участнику ОГЭ разрешается пользоваться орфографическим словарём, выданными организат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рами в аудитории. Словари предоставляются образовательной организацией на базе, которой организован ППЭ, либо образов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тельными организациями, учащиеся которых сдают экзамен в ППЭ. Пользование личными орфографическими словарями учас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никами ОГЭ запрещено.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экзамене по математике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участнику ОГЭ разрешается иметь при себе и пользоваться линейкой. Справочные материалы, с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держащие основные формулы курса математики образовательной программы основного общего образования, участник ОГЭ п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лучает вместе с экзаменационными материалами. Пользоваться личными справочными материалами участниками ОГЭ запрещ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но.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Продолжительность ОГЭ: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русскому языку, математике, литературе, составляет 235 минут;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обществознанию, физике, биологии, истории - 3 часа (180 минут);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географии, химии - 2 часа (120 минут);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информатике и информационно-коммуникационным технологиям – 2,5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часа (150 минут);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иностранным языкам (английский, французский, немецкий) - 2 часа 16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(136 минут): письменная часть - 2 часа (120 минут), устная часть - 16 минут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(время устного ответа составляет 6 минут на одного отвечающего, время подготовки к устному ответу 10 минут). </w:t>
      </w: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экзамена для участников с ОВЗ увеличивается на 1,5 часа.</w:t>
      </w:r>
    </w:p>
    <w:p w:rsidR="005D1551" w:rsidRDefault="005D1551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551" w:rsidRPr="005D1551" w:rsidRDefault="005D1551" w:rsidP="005D1551">
      <w:pPr>
        <w:spacing w:after="0" w:line="27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D1551">
        <w:rPr>
          <w:rStyle w:val="40"/>
          <w:rFonts w:eastAsiaTheme="minorHAnsi"/>
          <w:bCs w:val="0"/>
          <w:i w:val="0"/>
          <w:iCs w:val="0"/>
          <w:sz w:val="20"/>
          <w:szCs w:val="20"/>
        </w:rPr>
        <w:t>Адреса сайтов, на которых размещены информационные ресурсы:</w:t>
      </w:r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Pr="00483C15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http://www.ege.edu.ru/</w:t>
        </w:r>
      </w:hyperlink>
      <w:r w:rsidRPr="00483C15">
        <w:rPr>
          <w:rStyle w:val="50"/>
          <w:rFonts w:eastAsiaTheme="minorHAnsi"/>
          <w:color w:val="auto"/>
          <w:sz w:val="20"/>
          <w:szCs w:val="20"/>
          <w:lang w:val="en-US"/>
        </w:rPr>
        <w:t xml:space="preserve"> </w:t>
      </w:r>
      <w:r w:rsidRPr="00483C1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483C15">
        <w:rPr>
          <w:rFonts w:ascii="Times New Roman" w:hAnsi="Times New Roman" w:cs="Times New Roman"/>
          <w:sz w:val="20"/>
          <w:szCs w:val="20"/>
        </w:rPr>
        <w:t>ЕГЭ</w:t>
      </w:r>
      <w:r w:rsidRPr="00483C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83C15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483C15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http://obrnadzor.gov.ru/</w:t>
        </w:r>
      </w:hyperlink>
      <w:r w:rsidRPr="00483C15">
        <w:rPr>
          <w:rStyle w:val="50"/>
          <w:rFonts w:eastAsiaTheme="minorHAnsi"/>
          <w:color w:val="auto"/>
          <w:sz w:val="20"/>
          <w:szCs w:val="20"/>
        </w:rPr>
        <w:t xml:space="preserve"> </w:t>
      </w:r>
      <w:r w:rsidRPr="00483C1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83C15">
        <w:rPr>
          <w:rFonts w:ascii="Times New Roman" w:hAnsi="Times New Roman" w:cs="Times New Roman"/>
          <w:sz w:val="20"/>
          <w:szCs w:val="20"/>
        </w:rPr>
        <w:t>Рособрнадзор</w:t>
      </w:r>
      <w:proofErr w:type="spellEnd"/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483C1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www.fipi.ru</w:t>
        </w:r>
      </w:hyperlink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483C1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www.rustest.ru</w:t>
        </w:r>
      </w:hyperlink>
      <w:r w:rsidRPr="00483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hyperlink r:id="rId11" w:history="1">
        <w:r w:rsidRPr="00483C1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http://www.pskovedu.ru/</w:t>
        </w:r>
      </w:hyperlink>
      <w:r w:rsidRPr="00483C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D1551" w:rsidRPr="00483C15" w:rsidRDefault="005D1551" w:rsidP="005D1551">
      <w:pPr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83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483C1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http://edu.pskov.ru/</w:t>
        </w:r>
      </w:hyperlink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правилами проведения ОГЭ </w:t>
      </w:r>
      <w:proofErr w:type="gramStart"/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(а):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ОГЭ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___________________(_____________________)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Родитель/законный представитель несовершеннолетнего участника ОГЭ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___________________(_____________________) 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</w:t>
      </w:r>
    </w:p>
    <w:p w:rsidR="006716CC" w:rsidRP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CC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</w:t>
      </w:r>
    </w:p>
    <w:p w:rsidR="005D1551" w:rsidRDefault="006716CC" w:rsidP="006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___________________(_____________________) </w:t>
      </w:r>
    </w:p>
    <w:p w:rsidR="008D467E" w:rsidRDefault="006716CC" w:rsidP="005D1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Pr="00671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</w:t>
      </w:r>
      <w:r w:rsidRPr="00671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16CC" w:rsidRPr="006716CC" w:rsidRDefault="008D467E" w:rsidP="008D46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76E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bookmarkStart w:id="0" w:name="_GoBack"/>
      <w:bookmarkEnd w:id="0"/>
      <w:r w:rsidRPr="00A47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20__г. </w:t>
      </w:r>
      <w:r w:rsidR="006716CC" w:rsidRPr="006716CC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07036E" w:rsidRPr="006716CC" w:rsidRDefault="0007036E" w:rsidP="00671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7036E" w:rsidRPr="006716CC" w:rsidSect="006716CC">
      <w:pgSz w:w="11906" w:h="16838"/>
      <w:pgMar w:top="340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1A4D2568"/>
    <w:multiLevelType w:val="multilevel"/>
    <w:tmpl w:val="726A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CC"/>
    <w:rsid w:val="0007036E"/>
    <w:rsid w:val="00483C15"/>
    <w:rsid w:val="005D1551"/>
    <w:rsid w:val="006716CC"/>
    <w:rsid w:val="008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6C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D1551"/>
    <w:rPr>
      <w:color w:val="0066CC"/>
      <w:u w:val="single"/>
    </w:rPr>
  </w:style>
  <w:style w:type="character" w:customStyle="1" w:styleId="4">
    <w:name w:val="Основной текст (4)_"/>
    <w:basedOn w:val="a0"/>
    <w:rsid w:val="005D155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5D15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rsid w:val="005D1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5D1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6C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D1551"/>
    <w:rPr>
      <w:color w:val="0066CC"/>
      <w:u w:val="single"/>
    </w:rPr>
  </w:style>
  <w:style w:type="character" w:customStyle="1" w:styleId="4">
    <w:name w:val="Основной текст (4)_"/>
    <w:basedOn w:val="a0"/>
    <w:rsid w:val="005D155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5D15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rsid w:val="005D1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5D1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7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726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4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215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987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3151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2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8393">
                      <w:marLeft w:val="0"/>
                      <w:marRight w:val="0"/>
                      <w:marTop w:val="360"/>
                      <w:marBottom w:val="0"/>
                      <w:divBdr>
                        <w:top w:val="single" w:sz="18" w:space="0" w:color="67AB31"/>
                        <w:left w:val="single" w:sz="18" w:space="0" w:color="67AB31"/>
                        <w:bottom w:val="single" w:sz="18" w:space="8" w:color="67AB31"/>
                        <w:right w:val="single" w:sz="18" w:space="0" w:color="67AB31"/>
                      </w:divBdr>
                      <w:divsChild>
                        <w:div w:id="12484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69225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334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2692683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97319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5872265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50714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4516365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6928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6610786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edu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4ege.ru%2Fgia-in-9%2F51369-proekt-raspisaniya-oge-2016.html" TargetMode="External"/><Relationship Id="rId11" Type="http://schemas.openxmlformats.org/officeDocument/2006/relationships/hyperlink" Target="http://www.pskov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5</cp:revision>
  <cp:lastPrinted>2015-12-17T15:03:00Z</cp:lastPrinted>
  <dcterms:created xsi:type="dcterms:W3CDTF">2015-12-17T14:37:00Z</dcterms:created>
  <dcterms:modified xsi:type="dcterms:W3CDTF">2015-12-17T15:07:00Z</dcterms:modified>
</cp:coreProperties>
</file>