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578"/>
        <w:gridCol w:w="3191"/>
      </w:tblGrid>
      <w:tr w:rsidR="00A405C0" w:rsidRPr="00A405C0" w:rsidTr="00A405C0">
        <w:tc>
          <w:tcPr>
            <w:tcW w:w="2802" w:type="dxa"/>
          </w:tcPr>
          <w:p w:rsidR="00A405C0" w:rsidRPr="00A405C0" w:rsidRDefault="00A405C0">
            <w:pPr>
              <w:contextualSpacing/>
              <w:rPr>
                <w:rFonts w:ascii="Times New Roman" w:hAnsi="Times New Roman" w:cs="Times New Roman"/>
                <w:sz w:val="20"/>
                <w:szCs w:val="20"/>
              </w:rPr>
            </w:pPr>
            <w:r w:rsidRPr="00A405C0">
              <w:rPr>
                <w:rFonts w:ascii="Times New Roman" w:hAnsi="Times New Roman" w:cs="Times New Roman"/>
                <w:sz w:val="20"/>
                <w:szCs w:val="20"/>
              </w:rPr>
              <w:t>Согласовано</w:t>
            </w:r>
          </w:p>
          <w:p w:rsidR="00A405C0" w:rsidRPr="00A405C0" w:rsidRDefault="00A405C0">
            <w:pPr>
              <w:contextualSpacing/>
              <w:rPr>
                <w:rFonts w:ascii="Times New Roman" w:hAnsi="Times New Roman" w:cs="Times New Roman"/>
                <w:sz w:val="20"/>
                <w:szCs w:val="20"/>
              </w:rPr>
            </w:pPr>
            <w:r w:rsidRPr="00A405C0">
              <w:rPr>
                <w:rFonts w:ascii="Times New Roman" w:hAnsi="Times New Roman" w:cs="Times New Roman"/>
                <w:sz w:val="20"/>
                <w:szCs w:val="20"/>
              </w:rPr>
              <w:t>Председатель ПК</w:t>
            </w:r>
          </w:p>
          <w:p w:rsidR="00A405C0" w:rsidRPr="00A405C0" w:rsidRDefault="00A405C0">
            <w:pPr>
              <w:rPr>
                <w:sz w:val="20"/>
                <w:szCs w:val="20"/>
              </w:rPr>
            </w:pPr>
            <w:r w:rsidRPr="00A405C0">
              <w:rPr>
                <w:rFonts w:ascii="Times New Roman" w:hAnsi="Times New Roman" w:cs="Times New Roman"/>
                <w:sz w:val="20"/>
                <w:szCs w:val="20"/>
              </w:rPr>
              <w:t>_______________</w:t>
            </w:r>
          </w:p>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Рязанцева Л.И.</w:t>
            </w:r>
          </w:p>
        </w:tc>
        <w:tc>
          <w:tcPr>
            <w:tcW w:w="3578" w:type="dxa"/>
          </w:tcPr>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Согласовано</w:t>
            </w:r>
          </w:p>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 xml:space="preserve">Председатель </w:t>
            </w:r>
            <w:r w:rsidRPr="00A405C0">
              <w:rPr>
                <w:rFonts w:ascii="Times New Roman" w:hAnsi="Times New Roman" w:cs="Times New Roman"/>
                <w:sz w:val="20"/>
                <w:szCs w:val="20"/>
              </w:rPr>
              <w:t>Совета МБДОУ</w:t>
            </w:r>
          </w:p>
          <w:p w:rsidR="00A405C0" w:rsidRPr="00A405C0" w:rsidRDefault="00A405C0" w:rsidP="00A405C0">
            <w:pPr>
              <w:rPr>
                <w:sz w:val="20"/>
                <w:szCs w:val="20"/>
              </w:rPr>
            </w:pPr>
            <w:r w:rsidRPr="00A405C0">
              <w:rPr>
                <w:rFonts w:ascii="Times New Roman" w:hAnsi="Times New Roman" w:cs="Times New Roman"/>
                <w:sz w:val="20"/>
                <w:szCs w:val="20"/>
              </w:rPr>
              <w:t>_______________</w:t>
            </w:r>
          </w:p>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Сербина О.</w:t>
            </w:r>
            <w:r w:rsidR="002A0226">
              <w:rPr>
                <w:rFonts w:ascii="Times New Roman" w:hAnsi="Times New Roman" w:cs="Times New Roman"/>
                <w:sz w:val="20"/>
                <w:szCs w:val="20"/>
              </w:rPr>
              <w:t>Б</w:t>
            </w:r>
            <w:bookmarkStart w:id="0" w:name="_GoBack"/>
            <w:bookmarkEnd w:id="0"/>
          </w:p>
        </w:tc>
        <w:tc>
          <w:tcPr>
            <w:tcW w:w="3191" w:type="dxa"/>
          </w:tcPr>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Утверждаю</w:t>
            </w:r>
          </w:p>
          <w:p w:rsidR="00A405C0" w:rsidRPr="00A405C0" w:rsidRDefault="00A405C0" w:rsidP="00A405C0">
            <w:pPr>
              <w:contextualSpacing/>
              <w:rPr>
                <w:rFonts w:ascii="Times New Roman" w:hAnsi="Times New Roman" w:cs="Times New Roman"/>
                <w:sz w:val="20"/>
                <w:szCs w:val="20"/>
              </w:rPr>
            </w:pPr>
            <w:r w:rsidRPr="00A405C0">
              <w:rPr>
                <w:rFonts w:ascii="Times New Roman" w:hAnsi="Times New Roman" w:cs="Times New Roman"/>
                <w:sz w:val="20"/>
                <w:szCs w:val="20"/>
              </w:rPr>
              <w:t xml:space="preserve">Заведующая </w:t>
            </w:r>
          </w:p>
          <w:p w:rsidR="00A405C0" w:rsidRPr="00A405C0" w:rsidRDefault="00A405C0" w:rsidP="00A405C0">
            <w:pPr>
              <w:rPr>
                <w:sz w:val="20"/>
                <w:szCs w:val="20"/>
              </w:rPr>
            </w:pPr>
            <w:r w:rsidRPr="00A405C0">
              <w:rPr>
                <w:rFonts w:ascii="Times New Roman" w:hAnsi="Times New Roman" w:cs="Times New Roman"/>
                <w:sz w:val="20"/>
                <w:szCs w:val="20"/>
              </w:rPr>
              <w:t>_______________</w:t>
            </w:r>
          </w:p>
          <w:p w:rsidR="00A405C0" w:rsidRPr="00A405C0" w:rsidRDefault="00A405C0" w:rsidP="00A405C0">
            <w:pPr>
              <w:contextualSpacing/>
              <w:rPr>
                <w:rFonts w:ascii="Times New Roman" w:hAnsi="Times New Roman" w:cs="Times New Roman"/>
                <w:sz w:val="20"/>
                <w:szCs w:val="20"/>
              </w:rPr>
            </w:pPr>
            <w:proofErr w:type="spellStart"/>
            <w:r w:rsidRPr="00A405C0">
              <w:rPr>
                <w:rFonts w:ascii="Times New Roman" w:hAnsi="Times New Roman" w:cs="Times New Roman"/>
                <w:sz w:val="20"/>
                <w:szCs w:val="20"/>
              </w:rPr>
              <w:t>Байбина</w:t>
            </w:r>
            <w:proofErr w:type="spellEnd"/>
            <w:r w:rsidRPr="00A405C0">
              <w:rPr>
                <w:rFonts w:ascii="Times New Roman" w:hAnsi="Times New Roman" w:cs="Times New Roman"/>
                <w:sz w:val="20"/>
                <w:szCs w:val="20"/>
              </w:rPr>
              <w:t xml:space="preserve"> Л.А.</w:t>
            </w:r>
          </w:p>
        </w:tc>
      </w:tr>
    </w:tbl>
    <w:p w:rsidR="00A405C0" w:rsidRDefault="00A405C0"/>
    <w:p w:rsidR="0007367E" w:rsidRDefault="0007367E"/>
    <w:p w:rsidR="00BD29DD" w:rsidRPr="0007367E" w:rsidRDefault="00A405C0" w:rsidP="0007367E">
      <w:pPr>
        <w:tabs>
          <w:tab w:val="left" w:pos="3967"/>
        </w:tabs>
        <w:contextualSpacing/>
        <w:jc w:val="center"/>
        <w:rPr>
          <w:rFonts w:ascii="Times New Roman" w:hAnsi="Times New Roman" w:cs="Times New Roman"/>
          <w:b/>
          <w:sz w:val="24"/>
          <w:szCs w:val="24"/>
        </w:rPr>
      </w:pPr>
      <w:r w:rsidRPr="0007367E">
        <w:rPr>
          <w:rFonts w:ascii="Times New Roman" w:hAnsi="Times New Roman" w:cs="Times New Roman"/>
          <w:b/>
          <w:sz w:val="24"/>
          <w:szCs w:val="24"/>
        </w:rPr>
        <w:t>Дополнения и изменения</w:t>
      </w:r>
    </w:p>
    <w:p w:rsidR="00A405C0" w:rsidRPr="0007367E" w:rsidRDefault="00A405C0" w:rsidP="00A405C0">
      <w:pPr>
        <w:tabs>
          <w:tab w:val="left" w:pos="3967"/>
        </w:tabs>
        <w:contextualSpacing/>
        <w:jc w:val="center"/>
        <w:rPr>
          <w:rFonts w:ascii="Times New Roman" w:hAnsi="Times New Roman" w:cs="Times New Roman"/>
          <w:b/>
          <w:sz w:val="24"/>
          <w:szCs w:val="24"/>
        </w:rPr>
      </w:pPr>
      <w:r w:rsidRPr="0007367E">
        <w:rPr>
          <w:rFonts w:ascii="Times New Roman" w:hAnsi="Times New Roman" w:cs="Times New Roman"/>
          <w:b/>
          <w:sz w:val="24"/>
          <w:szCs w:val="24"/>
        </w:rPr>
        <w:t>к положению об оплате труда работников</w:t>
      </w:r>
    </w:p>
    <w:p w:rsidR="00A405C0" w:rsidRPr="0007367E" w:rsidRDefault="00A405C0" w:rsidP="00A405C0">
      <w:pPr>
        <w:tabs>
          <w:tab w:val="left" w:pos="3967"/>
        </w:tabs>
        <w:contextualSpacing/>
        <w:jc w:val="center"/>
        <w:rPr>
          <w:rFonts w:ascii="Times New Roman" w:hAnsi="Times New Roman" w:cs="Times New Roman"/>
          <w:b/>
          <w:sz w:val="24"/>
          <w:szCs w:val="24"/>
        </w:rPr>
      </w:pPr>
      <w:r w:rsidRPr="0007367E">
        <w:rPr>
          <w:rFonts w:ascii="Times New Roman" w:hAnsi="Times New Roman" w:cs="Times New Roman"/>
          <w:b/>
          <w:sz w:val="24"/>
          <w:szCs w:val="24"/>
        </w:rPr>
        <w:t>муниципального бюджетного дошкольного образовательного учреждения</w:t>
      </w:r>
    </w:p>
    <w:p w:rsidR="00A405C0" w:rsidRPr="0007367E" w:rsidRDefault="00A405C0" w:rsidP="00A405C0">
      <w:pPr>
        <w:tabs>
          <w:tab w:val="left" w:pos="3967"/>
        </w:tabs>
        <w:contextualSpacing/>
        <w:jc w:val="center"/>
        <w:rPr>
          <w:rFonts w:ascii="Times New Roman" w:hAnsi="Times New Roman" w:cs="Times New Roman"/>
          <w:b/>
          <w:sz w:val="24"/>
          <w:szCs w:val="24"/>
        </w:rPr>
      </w:pPr>
      <w:r w:rsidRPr="0007367E">
        <w:rPr>
          <w:rFonts w:ascii="Times New Roman" w:hAnsi="Times New Roman" w:cs="Times New Roman"/>
          <w:b/>
          <w:sz w:val="24"/>
          <w:szCs w:val="24"/>
        </w:rPr>
        <w:t>«Центр развития ребенка – детский сад №22»</w:t>
      </w:r>
    </w:p>
    <w:p w:rsidR="00A405C0" w:rsidRDefault="00A405C0" w:rsidP="00A405C0">
      <w:pPr>
        <w:tabs>
          <w:tab w:val="left" w:pos="3967"/>
        </w:tabs>
        <w:ind w:left="851"/>
        <w:contextualSpacing/>
        <w:rPr>
          <w:rFonts w:ascii="Times New Roman" w:hAnsi="Times New Roman" w:cs="Times New Roman"/>
          <w:sz w:val="24"/>
          <w:szCs w:val="24"/>
        </w:rPr>
      </w:pPr>
    </w:p>
    <w:p w:rsidR="00A405C0" w:rsidRDefault="00A405C0" w:rsidP="003E6D64">
      <w:pPr>
        <w:tabs>
          <w:tab w:val="left" w:pos="3967"/>
        </w:tabs>
        <w:contextualSpacing/>
        <w:jc w:val="both"/>
        <w:rPr>
          <w:rFonts w:ascii="Times New Roman" w:hAnsi="Times New Roman" w:cs="Times New Roman"/>
          <w:sz w:val="24"/>
          <w:szCs w:val="24"/>
        </w:rPr>
      </w:pPr>
      <w:r>
        <w:rPr>
          <w:rFonts w:ascii="Times New Roman" w:hAnsi="Times New Roman" w:cs="Times New Roman"/>
          <w:sz w:val="24"/>
          <w:szCs w:val="24"/>
        </w:rPr>
        <w:t xml:space="preserve">      В целях выполнения Указа Президента Российской Федерации от 07 мая 2012 год №597 «о мероприятиях по реализации государственной социальной политики», на основании Распоряжения Администрации Псковской области от 24.01.2013 № 11 –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«О мероприятиях, направленных на увеличение в 2013 году средней заработной платы педагогических работников образовательных учреждений общего образования и дошкольных образовательных учреждений области» и приказа Управления образования Администрации г. Великие Луки № 72/</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от 31.01.2013 г. по сохранению в 2013 году средней заработной платы педагогических работников МБДОУ «Центр развития ребенка – детский сад №22» на уровне прогнозируемой средней заработной платы в регионе на </w:t>
      </w:r>
      <w:r w:rsidR="003E6D64">
        <w:rPr>
          <w:rFonts w:ascii="Times New Roman" w:hAnsi="Times New Roman" w:cs="Times New Roman"/>
          <w:sz w:val="24"/>
          <w:szCs w:val="24"/>
        </w:rPr>
        <w:t>2013 год подраздел 3 «Виды, размеры, условия установления, порядок начисления и проведения стимулирующих выплат работникам»</w:t>
      </w:r>
      <w:r w:rsidR="0007367E">
        <w:rPr>
          <w:rFonts w:ascii="Times New Roman" w:hAnsi="Times New Roman" w:cs="Times New Roman"/>
          <w:sz w:val="24"/>
          <w:szCs w:val="24"/>
        </w:rPr>
        <w:t xml:space="preserve"> дополнен пунктом 4</w:t>
      </w:r>
      <w:r w:rsidR="003E6D64">
        <w:rPr>
          <w:rFonts w:ascii="Times New Roman" w:hAnsi="Times New Roman" w:cs="Times New Roman"/>
          <w:sz w:val="24"/>
          <w:szCs w:val="24"/>
        </w:rPr>
        <w:t xml:space="preserve"> в следующей редакции:</w:t>
      </w:r>
    </w:p>
    <w:p w:rsidR="003E6D64" w:rsidRDefault="00EA4D00" w:rsidP="0007367E">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Расчет денежных средств субвенции на общеобразовательный процесс</w:t>
      </w:r>
      <w:r w:rsidR="00BD2BAD">
        <w:rPr>
          <w:rFonts w:ascii="Times New Roman" w:hAnsi="Times New Roman" w:cs="Times New Roman"/>
          <w:sz w:val="24"/>
          <w:szCs w:val="24"/>
        </w:rPr>
        <w:t xml:space="preserve"> для </w:t>
      </w:r>
      <w:r>
        <w:rPr>
          <w:rFonts w:ascii="Times New Roman" w:hAnsi="Times New Roman" w:cs="Times New Roman"/>
          <w:sz w:val="24"/>
          <w:szCs w:val="24"/>
        </w:rPr>
        <w:t xml:space="preserve">выплаты </w:t>
      </w:r>
      <w:r w:rsidR="00BD2BAD">
        <w:rPr>
          <w:rFonts w:ascii="Times New Roman" w:hAnsi="Times New Roman" w:cs="Times New Roman"/>
          <w:sz w:val="24"/>
          <w:szCs w:val="24"/>
        </w:rPr>
        <w:t>стимулирующих выплат в 2013 году производится в соответствии с Распоряжением Администрации Псковской области.</w:t>
      </w:r>
    </w:p>
    <w:p w:rsidR="00BD2BAD" w:rsidRDefault="00BD2BAD"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средства субвенции на общеобразовательный процесс для выплаты стимулирующей выплаты в 2013 году носят целевой характер и не могут быть использованы на другие цели.</w:t>
      </w:r>
    </w:p>
    <w:p w:rsidR="00BD2BAD" w:rsidRDefault="00DE4598"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w:t>
      </w:r>
      <w:r w:rsidR="00BD2BAD">
        <w:rPr>
          <w:rFonts w:ascii="Times New Roman" w:hAnsi="Times New Roman" w:cs="Times New Roman"/>
          <w:sz w:val="24"/>
          <w:szCs w:val="24"/>
        </w:rPr>
        <w:t xml:space="preserve">Начисление и распределение дополнительных стимулирующих выплат педагогических работников МБДОУ «Центр развития ребенка – детский сад №22» </w:t>
      </w:r>
      <w:r>
        <w:rPr>
          <w:rFonts w:ascii="Times New Roman" w:hAnsi="Times New Roman" w:cs="Times New Roman"/>
          <w:sz w:val="24"/>
          <w:szCs w:val="24"/>
        </w:rPr>
        <w:t>производится в соответствии с приложением №2 приказа Управления образования Администрации г. Великие Луки № 72/</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от 31.01.2013 г. производится в процентном отношении и пересматривается ежеквартально на предмет повышения по принципу: квартал к кварталу.</w:t>
      </w:r>
    </w:p>
    <w:p w:rsidR="00DE4598" w:rsidRDefault="00DE4598"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Начисление стимулирующих выплат производится в процентном отношении к средней заработной плате педагогических работников дошкольных образовательных учреждений за 2012 год.</w:t>
      </w:r>
    </w:p>
    <w:p w:rsidR="00D3699F" w:rsidRDefault="00D3699F"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Дополнительные средства на выравнивание бюджетной обеспеченности: для выплаты дополнительной стимулирующей доплаты в 2013 году носит целевой </w:t>
      </w:r>
      <w:proofErr w:type="gramStart"/>
      <w:r>
        <w:rPr>
          <w:rFonts w:ascii="Times New Roman" w:hAnsi="Times New Roman" w:cs="Times New Roman"/>
          <w:sz w:val="24"/>
          <w:szCs w:val="24"/>
        </w:rPr>
        <w:t>характер</w:t>
      </w:r>
      <w:proofErr w:type="gramEnd"/>
      <w:r>
        <w:rPr>
          <w:rFonts w:ascii="Times New Roman" w:hAnsi="Times New Roman" w:cs="Times New Roman"/>
          <w:sz w:val="24"/>
          <w:szCs w:val="24"/>
        </w:rPr>
        <w:t xml:space="preserve"> и могут быть использованы только на выплаты стимулирующего характера педагогическим работникам дошкольных образовательных учреждений. Сумма дополнительных средств дотации на выплату стимулирующих выплат педагогическим работникам дошкольных учреждений не может быть направлена на другие цели.</w:t>
      </w:r>
    </w:p>
    <w:p w:rsidR="00D3699F" w:rsidRDefault="00D3699F"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Расчет процентного отношения определяются МБДОУ «Центр развития ребенка – детский сад №22» самостоятельно, в зависимости от выделенных средств дотации на выплату стимулирующих выплат </w:t>
      </w:r>
      <w:r w:rsidR="00E67F21">
        <w:rPr>
          <w:rFonts w:ascii="Times New Roman" w:hAnsi="Times New Roman" w:cs="Times New Roman"/>
          <w:sz w:val="24"/>
          <w:szCs w:val="24"/>
        </w:rPr>
        <w:t>педагогическим работникам дошкольных образовательных учреждений в текущем квартале, процентное соотношение пересчитывается ежеквартально.</w:t>
      </w:r>
    </w:p>
    <w:p w:rsidR="00E67F21" w:rsidRDefault="00E67F21" w:rsidP="00EA4D00">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Каждый последующий квартал начисления производятся с недопущением снижения заработной платы по сравнению с предыдущим кварталом в два этапа: </w:t>
      </w:r>
    </w:p>
    <w:p w:rsidR="00E67F21" w:rsidRDefault="00E67F21" w:rsidP="00E67F21">
      <w:pPr>
        <w:pStyle w:val="a4"/>
        <w:numPr>
          <w:ilvl w:val="0"/>
          <w:numId w:val="3"/>
        </w:numPr>
        <w:tabs>
          <w:tab w:val="left" w:pos="3967"/>
        </w:tabs>
        <w:jc w:val="both"/>
        <w:rPr>
          <w:rFonts w:ascii="Times New Roman" w:hAnsi="Times New Roman" w:cs="Times New Roman"/>
          <w:sz w:val="24"/>
          <w:szCs w:val="24"/>
        </w:rPr>
      </w:pPr>
      <w:r>
        <w:rPr>
          <w:rFonts w:ascii="Times New Roman" w:hAnsi="Times New Roman" w:cs="Times New Roman"/>
          <w:sz w:val="24"/>
          <w:szCs w:val="24"/>
        </w:rPr>
        <w:t>Издание приказа о квартальных дополнительных стимулирующих выплатах;</w:t>
      </w:r>
    </w:p>
    <w:p w:rsidR="00E67F21" w:rsidRDefault="00E67F21" w:rsidP="00E67F21">
      <w:pPr>
        <w:pStyle w:val="a4"/>
        <w:numPr>
          <w:ilvl w:val="0"/>
          <w:numId w:val="3"/>
        </w:numPr>
        <w:tabs>
          <w:tab w:val="left" w:pos="3967"/>
        </w:tabs>
        <w:jc w:val="both"/>
        <w:rPr>
          <w:rFonts w:ascii="Times New Roman" w:hAnsi="Times New Roman" w:cs="Times New Roman"/>
          <w:sz w:val="24"/>
          <w:szCs w:val="24"/>
        </w:rPr>
      </w:pPr>
      <w:proofErr w:type="gramStart"/>
      <w:r>
        <w:rPr>
          <w:rFonts w:ascii="Times New Roman" w:hAnsi="Times New Roman" w:cs="Times New Roman"/>
          <w:sz w:val="24"/>
          <w:szCs w:val="24"/>
        </w:rPr>
        <w:t>Издание приказа о распределении оставшейся части дополнительных стимулирующих в соответствии с качеством и результативностью работы педагогического работника ежемесячно в рамках текущего квартала в зависимости от выделенных средств дополнительной субвенции.</w:t>
      </w:r>
      <w:proofErr w:type="gramEnd"/>
    </w:p>
    <w:p w:rsidR="0007367E" w:rsidRDefault="0007367E" w:rsidP="0007367E">
      <w:pPr>
        <w:pStyle w:val="a4"/>
        <w:numPr>
          <w:ilvl w:val="1"/>
          <w:numId w:val="2"/>
        </w:numPr>
        <w:tabs>
          <w:tab w:val="left" w:pos="3967"/>
        </w:tabs>
        <w:jc w:val="both"/>
        <w:rPr>
          <w:rFonts w:ascii="Times New Roman" w:hAnsi="Times New Roman" w:cs="Times New Roman"/>
          <w:sz w:val="24"/>
          <w:szCs w:val="24"/>
        </w:rPr>
      </w:pPr>
      <w:r>
        <w:rPr>
          <w:rFonts w:ascii="Times New Roman" w:hAnsi="Times New Roman" w:cs="Times New Roman"/>
          <w:sz w:val="24"/>
          <w:szCs w:val="24"/>
        </w:rPr>
        <w:t xml:space="preserve"> Для расчета дополнительных стимулирующих выплат, </w:t>
      </w:r>
      <w:proofErr w:type="spellStart"/>
      <w:r>
        <w:rPr>
          <w:rFonts w:ascii="Times New Roman" w:hAnsi="Times New Roman" w:cs="Times New Roman"/>
          <w:sz w:val="24"/>
          <w:szCs w:val="24"/>
        </w:rPr>
        <w:t>среняя</w:t>
      </w:r>
      <w:proofErr w:type="spellEnd"/>
      <w:r>
        <w:rPr>
          <w:rFonts w:ascii="Times New Roman" w:hAnsi="Times New Roman" w:cs="Times New Roman"/>
          <w:sz w:val="24"/>
          <w:szCs w:val="24"/>
        </w:rPr>
        <w:t xml:space="preserve"> заработная педагогического работника за 2012 год, умножается на процент </w:t>
      </w:r>
      <w:proofErr w:type="gramStart"/>
      <w:r>
        <w:rPr>
          <w:rFonts w:ascii="Times New Roman" w:hAnsi="Times New Roman" w:cs="Times New Roman"/>
          <w:sz w:val="24"/>
          <w:szCs w:val="24"/>
        </w:rPr>
        <w:t>стимулирования оплаты труда педагогических работников текущего квартала</w:t>
      </w:r>
      <w:proofErr w:type="gramEnd"/>
      <w:r>
        <w:rPr>
          <w:rFonts w:ascii="Times New Roman" w:hAnsi="Times New Roman" w:cs="Times New Roman"/>
          <w:sz w:val="24"/>
          <w:szCs w:val="24"/>
        </w:rPr>
        <w:t xml:space="preserve"> и начисляется ежемесячно.</w:t>
      </w:r>
    </w:p>
    <w:p w:rsidR="0007367E" w:rsidRPr="00EA4D00" w:rsidRDefault="0007367E" w:rsidP="0007367E">
      <w:pPr>
        <w:pStyle w:val="a4"/>
        <w:tabs>
          <w:tab w:val="left" w:pos="3967"/>
        </w:tabs>
        <w:ind w:left="1080"/>
        <w:jc w:val="both"/>
        <w:rPr>
          <w:rFonts w:ascii="Times New Roman" w:hAnsi="Times New Roman" w:cs="Times New Roman"/>
          <w:sz w:val="24"/>
          <w:szCs w:val="24"/>
        </w:rPr>
      </w:pPr>
    </w:p>
    <w:sectPr w:rsidR="0007367E" w:rsidRPr="00EA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5DAD"/>
    <w:multiLevelType w:val="hybridMultilevel"/>
    <w:tmpl w:val="CB2873DE"/>
    <w:lvl w:ilvl="0" w:tplc="2592B3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2D3C03"/>
    <w:multiLevelType w:val="hybridMultilevel"/>
    <w:tmpl w:val="3AC88514"/>
    <w:lvl w:ilvl="0" w:tplc="418CEB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8F939F5"/>
    <w:multiLevelType w:val="multilevel"/>
    <w:tmpl w:val="7D28C734"/>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C0"/>
    <w:rsid w:val="0007367E"/>
    <w:rsid w:val="002A0226"/>
    <w:rsid w:val="002E0F6C"/>
    <w:rsid w:val="003E6D64"/>
    <w:rsid w:val="00442F22"/>
    <w:rsid w:val="00A405C0"/>
    <w:rsid w:val="00BD2BAD"/>
    <w:rsid w:val="00D3699F"/>
    <w:rsid w:val="00DE4598"/>
    <w:rsid w:val="00E67F21"/>
    <w:rsid w:val="00EA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6D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E6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2013-06-17T10:37:00Z</cp:lastPrinted>
  <dcterms:created xsi:type="dcterms:W3CDTF">2013-06-17T08:29:00Z</dcterms:created>
  <dcterms:modified xsi:type="dcterms:W3CDTF">2013-06-17T10:45:00Z</dcterms:modified>
</cp:coreProperties>
</file>