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23" w:rsidRP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jc w:val="center"/>
        <w:rPr>
          <w:rFonts w:ascii="Verdana" w:hAnsi="Verdana"/>
          <w:color w:val="00B0F0"/>
          <w:sz w:val="32"/>
          <w:szCs w:val="32"/>
        </w:rPr>
      </w:pPr>
      <w:r w:rsidRPr="00F02723">
        <w:rPr>
          <w:rStyle w:val="a4"/>
          <w:rFonts w:ascii="Verdana" w:hAnsi="Verdana"/>
          <w:color w:val="00B0F0"/>
          <w:sz w:val="32"/>
          <w:szCs w:val="32"/>
        </w:rPr>
        <w:t>Консультация для родителей</w:t>
      </w:r>
    </w:p>
    <w:p w:rsidR="00F02723" w:rsidRP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jc w:val="center"/>
        <w:rPr>
          <w:rFonts w:ascii="Verdana" w:hAnsi="Verdana"/>
          <w:color w:val="00B0F0"/>
          <w:sz w:val="32"/>
          <w:szCs w:val="32"/>
        </w:rPr>
      </w:pPr>
      <w:r w:rsidRPr="00F02723">
        <w:rPr>
          <w:rFonts w:ascii="Verdana" w:hAnsi="Verdana"/>
          <w:color w:val="00B0F0"/>
          <w:sz w:val="32"/>
          <w:szCs w:val="32"/>
        </w:rPr>
        <w:t>"</w:t>
      </w:r>
      <w:r w:rsidRPr="00F02723">
        <w:rPr>
          <w:rStyle w:val="a5"/>
          <w:rFonts w:ascii="Verdana" w:hAnsi="Verdana"/>
          <w:b/>
          <w:bCs/>
          <w:color w:val="00B0F0"/>
          <w:sz w:val="32"/>
          <w:szCs w:val="32"/>
        </w:rPr>
        <w:t>Использование пальчи</w:t>
      </w:r>
      <w:r w:rsidR="0081484F">
        <w:rPr>
          <w:rStyle w:val="a5"/>
          <w:rFonts w:ascii="Verdana" w:hAnsi="Verdana"/>
          <w:b/>
          <w:bCs/>
          <w:color w:val="00B0F0"/>
          <w:sz w:val="32"/>
          <w:szCs w:val="32"/>
        </w:rPr>
        <w:t>ковых игр в развитии речи детей</w:t>
      </w:r>
      <w:r w:rsidRPr="00F02723">
        <w:rPr>
          <w:rStyle w:val="a5"/>
          <w:rFonts w:ascii="Verdana" w:hAnsi="Verdana"/>
          <w:b/>
          <w:bCs/>
          <w:color w:val="00B0F0"/>
          <w:sz w:val="32"/>
          <w:szCs w:val="32"/>
        </w:rPr>
        <w:t>"</w:t>
      </w:r>
    </w:p>
    <w:p w:rsidR="00F02723" w:rsidRP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ind w:firstLine="284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noProof/>
          <w:color w:val="333333"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445135</wp:posOffset>
            </wp:positionV>
            <wp:extent cx="1532255" cy="1647190"/>
            <wp:effectExtent l="19050" t="0" r="0" b="0"/>
            <wp:wrapSquare wrapText="bothSides"/>
            <wp:docPr id="1" name="Рисунок 1" descr="D:\Мои документы\Мои рисунки\логопед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логопед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333333"/>
          <w:sz w:val="14"/>
          <w:szCs w:val="14"/>
        </w:rPr>
        <w:t> </w:t>
      </w:r>
      <w:r>
        <w:rPr>
          <w:rFonts w:ascii="Verdana" w:hAnsi="Verdana"/>
          <w:color w:val="333333"/>
          <w:sz w:val="16"/>
          <w:szCs w:val="16"/>
        </w:rPr>
        <w:t>У детей при ряде речевых нарушений отмечается  выраженная в разной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 В связи с этим в системе по их обучению и воспитанию предусматриваются воспитательно-коррекционные мероприятия в данном направлении.</w:t>
      </w:r>
      <w:r w:rsidRPr="00F0272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 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сформированности тонких движений пальцев рук</w:t>
      </w:r>
      <w:proofErr w:type="gramStart"/>
      <w:r>
        <w:rPr>
          <w:rFonts w:ascii="Verdana" w:hAnsi="Verdana"/>
          <w:color w:val="333333"/>
          <w:sz w:val="16"/>
          <w:szCs w:val="16"/>
        </w:rPr>
        <w:t>.(</w:t>
      </w:r>
      <w:proofErr w:type="gramEnd"/>
      <w:r>
        <w:rPr>
          <w:rFonts w:ascii="Verdana" w:hAnsi="Verdana"/>
          <w:color w:val="333333"/>
          <w:sz w:val="16"/>
          <w:szCs w:val="16"/>
        </w:rPr>
        <w:t>М.М.Кольцова).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 Так,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рук отстает, то задерживается и речевое развитие, хотя общая моторика при этом может быть нормальной и даже выше нормы (Л.В. Фомина)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 М.М.Кольцова пришла к заключению, что формирование речевых областей совершается под влиянием кинестетических импульсов от рук, а точнее, от пальцев.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 Этот факт должен использоваться в работе с детьми и там, где развитие речи происходит своевременно, и особенно там, где имеется отставание, задержка развития моторной стороны речи. Рекомендуется стимулировать речевое развитие детей путем тренировки движений пальцев рук.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 xml:space="preserve">      Тренировку пальцев рук уже можно начинать в возрасте 6-7 месяцев: сюда входит массаж кисти рук и </w:t>
      </w:r>
      <w:r>
        <w:rPr>
          <w:rFonts w:ascii="Verdana" w:hAnsi="Verdana"/>
          <w:noProof/>
          <w:color w:val="333333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152244</wp:posOffset>
            </wp:positionV>
            <wp:extent cx="1438814" cy="1026544"/>
            <wp:effectExtent l="19050" t="0" r="8986" b="0"/>
            <wp:wrapSquare wrapText="bothSides"/>
            <wp:docPr id="2" name="Рисунок 2" descr="D:\Мои документы\Мои рисунки\логопед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логопед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14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333333"/>
          <w:sz w:val="16"/>
          <w:szCs w:val="16"/>
        </w:rPr>
        <w:t xml:space="preserve">каждого пальчика, каждой его фаланги. Проводится </w:t>
      </w:r>
      <w:proofErr w:type="gramStart"/>
      <w:r>
        <w:rPr>
          <w:rFonts w:ascii="Verdana" w:hAnsi="Verdana"/>
          <w:color w:val="333333"/>
          <w:sz w:val="16"/>
          <w:szCs w:val="16"/>
        </w:rPr>
        <w:t>разминание</w:t>
      </w:r>
      <w:proofErr w:type="gramEnd"/>
      <w:r>
        <w:rPr>
          <w:rFonts w:ascii="Verdana" w:hAnsi="Verdana"/>
          <w:color w:val="333333"/>
          <w:sz w:val="16"/>
          <w:szCs w:val="16"/>
        </w:rPr>
        <w:t xml:space="preserve"> и поглаживание ежедневно в течение 2-3 минут.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noProof/>
          <w:color w:val="333333"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746125</wp:posOffset>
            </wp:positionV>
            <wp:extent cx="1384935" cy="1181735"/>
            <wp:effectExtent l="19050" t="0" r="5715" b="0"/>
            <wp:wrapSquare wrapText="bothSides"/>
            <wp:docPr id="3" name="Рисунок 3" descr="D:\Мои документы\Мои рисунки\логопед\200783_9681-800x60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логопед\200783_9681-800x600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333333"/>
          <w:sz w:val="16"/>
          <w:szCs w:val="16"/>
        </w:rPr>
        <w:t>       Уже с десятимесячного возраста проводят активные упражнения для пальцев рук, вовлекая в движение больше пальцев с хорошей, достаточной амплитудой. Упражнения подбираются с учетом возрастных особенностей. Так, можно давать катать пальчиками деревянные шарики различного диаметра. Нужно вовлекать в движение все пальчики. Для этого упражнения можно использовать шарики из пластилина, бусы. Можно заниматься конструированием из кубиков, собирать различные пирамидки, перекладывать из одной ручки в другую карандаши, пуговки, спички. В полугодовалом возрасте детям даются более сложные задания: застегивание пуговиц, завязывание и развязывание узлов, шнуровка.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noProof/>
          <w:color w:val="333333"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324485</wp:posOffset>
            </wp:positionV>
            <wp:extent cx="1615440" cy="1586865"/>
            <wp:effectExtent l="19050" t="0" r="3810" b="0"/>
            <wp:wrapSquare wrapText="bothSides"/>
            <wp:docPr id="4" name="Рисунок 4" descr="D:\Мои документы\Мои рисунки\логопед\a039c75cb1c705fd06f9a8da2aa4a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Мои рисунки\логопед\a039c75cb1c705fd06f9a8da2aa4a9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333333"/>
          <w:sz w:val="16"/>
          <w:szCs w:val="16"/>
        </w:rPr>
        <w:t xml:space="preserve">       Очень хорошую тренировку движений для пальцев дают </w:t>
      </w:r>
      <w:proofErr w:type="gramStart"/>
      <w:r>
        <w:rPr>
          <w:rFonts w:ascii="Verdana" w:hAnsi="Verdana"/>
          <w:color w:val="333333"/>
          <w:sz w:val="16"/>
          <w:szCs w:val="16"/>
        </w:rPr>
        <w:t>народные</w:t>
      </w:r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игры-потешки</w:t>
      </w:r>
      <w:proofErr w:type="spellEnd"/>
      <w:r>
        <w:rPr>
          <w:rFonts w:ascii="Verdana" w:hAnsi="Verdana"/>
          <w:color w:val="333333"/>
          <w:sz w:val="16"/>
          <w:szCs w:val="16"/>
        </w:rPr>
        <w:t>.         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                       Сорока белобока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                     Кашу варила,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                     Детишек кормила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                     Этому дала,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lastRenderedPageBreak/>
        <w:t>                         Этому дала,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                     Этому дала.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noProof/>
          <w:color w:val="333333"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202565</wp:posOffset>
            </wp:positionV>
            <wp:extent cx="1473200" cy="1793875"/>
            <wp:effectExtent l="19050" t="0" r="0" b="0"/>
            <wp:wrapSquare wrapText="bothSides"/>
            <wp:docPr id="5" name="Рисунок 5" descr="D:\Мои документы\Мои рисунки\логопед\7PnHEWCdh7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ои рисунки\логопед\7PnHEWCdh7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333333"/>
          <w:sz w:val="16"/>
          <w:szCs w:val="16"/>
        </w:rPr>
        <w:t>     При этом указательным пальцем правой руки выполняют круговые движения по ладони левой руки. Затем поочередно загибают мизинец, безымянный, средний, указательный и большой пальцы.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  Можно использовать следующие стишки:</w:t>
      </w:r>
      <w:r w:rsidRPr="00F0272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                      Этот пальчик- папочка,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                      Этот пальчик- мамочка,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 xml:space="preserve">                          Этот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пальчик-я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>.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 xml:space="preserve">      Если упражнения вызывают у детей некоторые трудности, то родители помогают ребенку </w:t>
      </w:r>
      <w:proofErr w:type="spellStart"/>
      <w:r>
        <w:rPr>
          <w:rFonts w:ascii="Verdana" w:hAnsi="Verdana"/>
          <w:color w:val="333333"/>
          <w:sz w:val="16"/>
          <w:szCs w:val="16"/>
        </w:rPr>
        <w:t>удегживать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остальные пальчики от непроизвольных движений.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                      Этот пальчик хочет спать.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 xml:space="preserve">                          Этот пальчик лег в </w:t>
      </w:r>
      <w:proofErr w:type="spellStart"/>
      <w:r>
        <w:rPr>
          <w:rFonts w:ascii="Verdana" w:hAnsi="Verdana"/>
          <w:color w:val="333333"/>
          <w:sz w:val="16"/>
          <w:szCs w:val="16"/>
        </w:rPr>
        <w:t>кравать</w:t>
      </w:r>
      <w:proofErr w:type="spellEnd"/>
      <w:r>
        <w:rPr>
          <w:rFonts w:ascii="Verdana" w:hAnsi="Verdana"/>
          <w:color w:val="333333"/>
          <w:sz w:val="16"/>
          <w:szCs w:val="16"/>
        </w:rPr>
        <w:t>!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                      Этот пальчик прикорнул.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                      Этот пальчик уж заснул.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                      Встали пальчики. Ура!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                      В детский сад идти пора.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 xml:space="preserve"> Читая это стихотворение, сгибаем </w:t>
      </w:r>
      <w:proofErr w:type="gramStart"/>
      <w:r>
        <w:rPr>
          <w:rFonts w:ascii="Verdana" w:hAnsi="Verdana"/>
          <w:color w:val="333333"/>
          <w:sz w:val="16"/>
          <w:szCs w:val="16"/>
        </w:rPr>
        <w:t>пальцы</w:t>
      </w:r>
      <w:proofErr w:type="gramEnd"/>
      <w:r>
        <w:rPr>
          <w:rFonts w:ascii="Verdana" w:hAnsi="Verdana"/>
          <w:color w:val="333333"/>
          <w:sz w:val="16"/>
          <w:szCs w:val="16"/>
        </w:rPr>
        <w:t xml:space="preserve"> начиная с большого.</w:t>
      </w:r>
    </w:p>
    <w:p w:rsidR="00F02723" w:rsidRPr="0081484F" w:rsidRDefault="0081484F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noProof/>
          <w:color w:val="333333"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389255</wp:posOffset>
            </wp:positionV>
            <wp:extent cx="1550670" cy="1604010"/>
            <wp:effectExtent l="19050" t="0" r="0" b="0"/>
            <wp:wrapSquare wrapText="bothSides"/>
            <wp:docPr id="6" name="Рисунок 6" descr="D:\Мои документы\Мои рисунки\логопед\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Мои рисунки\логопед\2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723">
        <w:rPr>
          <w:rFonts w:ascii="Verdana" w:hAnsi="Verdana"/>
          <w:color w:val="333333"/>
          <w:sz w:val="16"/>
          <w:szCs w:val="16"/>
        </w:rPr>
        <w:t> Для тренировки пальцев могут быть использованы упражнения и без речевого сопровождения. Ребенку объясняют выполнение того или иного задания. Родители на себе демонстрируют  «Пальчики здороваются»- кончик большого пальца правой руки поочередно  касаются кончиков указательного, среднего, безымянного и мизинца.</w:t>
      </w:r>
      <w:r w:rsidRPr="0081484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02723" w:rsidRDefault="0081484F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noProof/>
          <w:color w:val="333333"/>
          <w:sz w:val="16"/>
          <w:szCs w:val="1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1576070</wp:posOffset>
            </wp:positionV>
            <wp:extent cx="1883410" cy="1405890"/>
            <wp:effectExtent l="19050" t="0" r="2540" b="0"/>
            <wp:wrapSquare wrapText="bothSides"/>
            <wp:docPr id="7" name="Рисунок 7" descr="D:\Мои документы\Мои рисунки\логопед\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Мои рисунки\логопед\13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723">
        <w:rPr>
          <w:rFonts w:ascii="Verdana" w:hAnsi="Verdana"/>
          <w:color w:val="333333"/>
          <w:sz w:val="16"/>
          <w:szCs w:val="16"/>
        </w:rPr>
        <w:t xml:space="preserve">        Выполняя пальчиками различные упражнения, ребенок достигает хорошего развития мелкой моторики рук, которая </w:t>
      </w:r>
      <w:proofErr w:type="gramStart"/>
      <w:r w:rsidR="00F02723">
        <w:rPr>
          <w:rFonts w:ascii="Verdana" w:hAnsi="Verdana"/>
          <w:color w:val="333333"/>
          <w:sz w:val="16"/>
          <w:szCs w:val="16"/>
        </w:rPr>
        <w:t>не только оказывает</w:t>
      </w:r>
      <w:proofErr w:type="gramEnd"/>
      <w:r w:rsidR="00F02723">
        <w:rPr>
          <w:rFonts w:ascii="Verdana" w:hAnsi="Verdana"/>
          <w:color w:val="333333"/>
          <w:sz w:val="16"/>
          <w:szCs w:val="16"/>
        </w:rPr>
        <w:t xml:space="preserve"> благоприятное влияние на развитие речи (так как при этом индуктивно происходит возбуждение в центрах речи), но и подготавливает ребенка к рисованию и письму. Кисти рук приобретают хорошую подвижность, гибкость, исчезает скованность движений, это облегчает приобретение навыков письма.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   Для развития моторики можно использовать различные задания, например: работа с пальчиками, работа со счетными палочками, спичками.</w:t>
      </w:r>
    </w:p>
    <w:p w:rsidR="00F02723" w:rsidRPr="0081484F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   Подбирают фигурки, которые изображают предметы, животных, птиц. Все фигурки с небольшим стихотворным сопровождением. При выполнении каждого упражнения нужно стараться вовлекать все пальчики, упражнения выполнять как правой, как и левой рукой.</w:t>
      </w:r>
      <w:r w:rsidR="0081484F" w:rsidRPr="0081484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 xml:space="preserve">        Когда ребенок освоит свободное выполнение фигурок, то упражнения можно усложнить: разыгрывание небольших сценок, пересказ коротких рассказов с сопровождением построения фигур из </w:t>
      </w:r>
      <w:r>
        <w:rPr>
          <w:rFonts w:ascii="Verdana" w:hAnsi="Verdana"/>
          <w:color w:val="333333"/>
          <w:sz w:val="16"/>
          <w:szCs w:val="16"/>
        </w:rPr>
        <w:lastRenderedPageBreak/>
        <w:t>кистей и пальцев рук.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      Нужно добиваться, чтобы все упражнения выполнялись  ребенком легко, без труда, чтобы занятия приносили ему радость.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 xml:space="preserve">        Позднее можно предложить задания со стихотворным сопровождением, при выполнении которых </w:t>
      </w:r>
      <w:r w:rsidR="0081484F">
        <w:rPr>
          <w:rFonts w:ascii="Verdana" w:hAnsi="Verdana"/>
          <w:noProof/>
          <w:color w:val="333333"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148626</wp:posOffset>
            </wp:positionV>
            <wp:extent cx="1490573" cy="1492370"/>
            <wp:effectExtent l="19050" t="0" r="0" b="0"/>
            <wp:wrapSquare wrapText="bothSides"/>
            <wp:docPr id="8" name="Рисунок 8" descr="D:\Мои документы\Мои рисунки\логопед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Мои рисунки\логопед\imag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573" cy="149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333333"/>
          <w:sz w:val="16"/>
          <w:szCs w:val="16"/>
        </w:rPr>
        <w:t>используют счетные палочки. Вначале знакомятся с геометрическими фигурками, на основе которых построены все остальные. Фигурки  сопровождают стишки для того, чтобы у ребенка возникал не только зрительный образ предмета, но и слуховой.  </w:t>
      </w:r>
    </w:p>
    <w:p w:rsidR="00F02723" w:rsidRDefault="00F02723" w:rsidP="00F02723">
      <w:pPr>
        <w:pStyle w:val="a3"/>
        <w:shd w:val="clear" w:color="auto" w:fill="FFFFFF"/>
        <w:spacing w:before="144" w:beforeAutospacing="0" w:after="288" w:afterAutospacing="0" w:line="235" w:lineRule="atLeast"/>
        <w:rPr>
          <w:rFonts w:ascii="Verdana" w:hAnsi="Verdana"/>
          <w:color w:val="333333"/>
          <w:sz w:val="14"/>
          <w:szCs w:val="14"/>
        </w:rPr>
      </w:pPr>
      <w:r>
        <w:rPr>
          <w:rFonts w:ascii="Verdana" w:hAnsi="Verdana"/>
          <w:color w:val="333333"/>
          <w:sz w:val="16"/>
          <w:szCs w:val="16"/>
        </w:rPr>
        <w:t>  Овладение детьми пальчиковых игр поможет им в преодолении трудностей развития речи и приведёт в комплексе с другими приёмами воздействия к качественным изменениям, т.е. развитию ребёнка.  </w:t>
      </w:r>
    </w:p>
    <w:p w:rsidR="00846A1C" w:rsidRDefault="00846A1C"/>
    <w:p w:rsidR="0081484F" w:rsidRDefault="0081484F"/>
    <w:sectPr w:rsidR="0081484F" w:rsidSect="0084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2723"/>
    <w:rsid w:val="0081484F"/>
    <w:rsid w:val="00846A1C"/>
    <w:rsid w:val="00880182"/>
    <w:rsid w:val="008869D3"/>
    <w:rsid w:val="00F0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82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72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02723"/>
    <w:rPr>
      <w:b/>
      <w:bCs/>
    </w:rPr>
  </w:style>
  <w:style w:type="character" w:styleId="a5">
    <w:name w:val="Emphasis"/>
    <w:basedOn w:val="a0"/>
    <w:uiPriority w:val="20"/>
    <w:qFormat/>
    <w:rsid w:val="00F02723"/>
    <w:rPr>
      <w:i/>
      <w:iCs/>
    </w:rPr>
  </w:style>
  <w:style w:type="character" w:customStyle="1" w:styleId="apple-converted-space">
    <w:name w:val="apple-converted-space"/>
    <w:basedOn w:val="a0"/>
    <w:rsid w:val="00F02723"/>
  </w:style>
  <w:style w:type="paragraph" w:styleId="a6">
    <w:name w:val="Balloon Text"/>
    <w:basedOn w:val="a"/>
    <w:link w:val="a7"/>
    <w:uiPriority w:val="99"/>
    <w:semiHidden/>
    <w:unhideWhenUsed/>
    <w:rsid w:val="00F0272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2014-10-21T08:41:00Z</dcterms:created>
  <dcterms:modified xsi:type="dcterms:W3CDTF">2014-10-21T08:54:00Z</dcterms:modified>
</cp:coreProperties>
</file>