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7A" w:rsidRPr="002C0D7A" w:rsidRDefault="002C0D7A" w:rsidP="002C0D7A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2C0D7A">
        <w:rPr>
          <w:rFonts w:eastAsia="Times New Roman" w:cs="Times New Roman"/>
          <w:b/>
          <w:bCs/>
          <w:sz w:val="36"/>
          <w:szCs w:val="36"/>
          <w:lang w:eastAsia="ru-RU"/>
        </w:rPr>
        <w:t>О РЕКОМЕНДАЦИЯХ</w:t>
      </w:r>
      <w:r w:rsidRPr="002C0D7A">
        <w:rPr>
          <w:rFonts w:eastAsia="Times New Roman" w:cs="Times New Roman"/>
          <w:b/>
          <w:bCs/>
          <w:sz w:val="36"/>
          <w:szCs w:val="36"/>
          <w:lang w:eastAsia="ru-RU"/>
        </w:rPr>
        <w:br/>
        <w:t>ПО ПОРЯДКУ КОМПЛЕКТОВАНИЯ ДОШКОЛЬНЫХ</w:t>
      </w:r>
      <w:r w:rsidRPr="002C0D7A">
        <w:rPr>
          <w:rFonts w:eastAsia="Times New Roman" w:cs="Times New Roman"/>
          <w:b/>
          <w:bCs/>
          <w:sz w:val="36"/>
          <w:szCs w:val="36"/>
          <w:lang w:eastAsia="ru-RU"/>
        </w:rPr>
        <w:br/>
        <w:t>ОБРАЗОВАТЕЛЬНЫХ УЧРЕЖДЕНИЙ</w:t>
      </w:r>
      <w:bookmarkEnd w:id="0"/>
    </w:p>
    <w:p w:rsidR="002C0D7A" w:rsidRDefault="002C0D7A" w:rsidP="002C0D7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2C0D7A" w:rsidRPr="002C0D7A" w:rsidRDefault="002C0D7A" w:rsidP="002C0D7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C0D7A">
        <w:rPr>
          <w:rFonts w:eastAsia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2C0D7A">
        <w:rPr>
          <w:rFonts w:eastAsia="Times New Roman" w:cs="Times New Roman"/>
          <w:b/>
          <w:bCs/>
          <w:sz w:val="27"/>
          <w:szCs w:val="27"/>
          <w:lang w:eastAsia="ru-RU"/>
        </w:rPr>
        <w:br/>
        <w:t> от 8 августа 2013 года № 08-1063</w:t>
      </w:r>
    </w:p>
    <w:p w:rsidR="002C0D7A" w:rsidRPr="002C0D7A" w:rsidRDefault="002C0D7A" w:rsidP="002C0D7A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8"/>
          <w:szCs w:val="24"/>
          <w:lang w:eastAsia="ru-RU"/>
        </w:rPr>
        <w:t>В целях реализации положений Указа Президента Российской Федерации от 7 мая 2012 г, № 599 "О мерах по реализации государственной политики в области образования и науки" в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О.Ю. Голодец от 16 июля 2013 г., Департамент государственной политики в сфере общего образования Минобрнауки</w:t>
      </w:r>
      <w:proofErr w:type="gramEnd"/>
      <w:r w:rsidRPr="002C0D7A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2C0D7A">
        <w:rPr>
          <w:rFonts w:eastAsia="Times New Roman" w:cs="Times New Roman"/>
          <w:sz w:val="28"/>
          <w:szCs w:val="24"/>
          <w:lang w:eastAsia="ru-RU"/>
        </w:rPr>
        <w:t>России направляет рекомендации по порядку комплектования образовательных учреждений, реализующих основную общеобразовательную программу дошкольного образования,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  <w:proofErr w:type="gramEnd"/>
    </w:p>
    <w:p w:rsidR="002C0D7A" w:rsidRDefault="002C0D7A" w:rsidP="002C0D7A">
      <w:pPr>
        <w:spacing w:before="100" w:beforeAutospacing="1" w:after="100" w:afterAutospacing="1" w:line="720" w:lineRule="auto"/>
        <w:rPr>
          <w:rFonts w:eastAsia="Times New Roman" w:cs="Times New Roman"/>
          <w:sz w:val="28"/>
          <w:szCs w:val="24"/>
          <w:lang w:eastAsia="ru-RU"/>
        </w:rPr>
      </w:pPr>
    </w:p>
    <w:p w:rsidR="002C0D7A" w:rsidRDefault="002C0D7A" w:rsidP="002C0D7A">
      <w:pPr>
        <w:spacing w:before="100" w:beforeAutospacing="1" w:after="100" w:afterAutospacing="1" w:line="720" w:lineRule="auto"/>
        <w:rPr>
          <w:rFonts w:eastAsia="Times New Roman" w:cs="Times New Roman"/>
          <w:sz w:val="28"/>
          <w:szCs w:val="24"/>
          <w:lang w:eastAsia="ru-RU"/>
        </w:rPr>
      </w:pPr>
      <w:r w:rsidRPr="002C0D7A">
        <w:rPr>
          <w:rFonts w:eastAsia="Times New Roman" w:cs="Times New Roman"/>
          <w:sz w:val="28"/>
          <w:szCs w:val="24"/>
          <w:lang w:eastAsia="ru-RU"/>
        </w:rPr>
        <w:t>Заместитель директора Департамента</w:t>
      </w:r>
      <w:r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</w:t>
      </w:r>
      <w:r w:rsidRPr="002C0D7A">
        <w:rPr>
          <w:rFonts w:eastAsia="Times New Roman" w:cs="Times New Roman"/>
          <w:sz w:val="28"/>
          <w:szCs w:val="24"/>
          <w:lang w:eastAsia="ru-RU"/>
        </w:rPr>
        <w:t>И.И.ТАРАДАНОВА</w:t>
      </w:r>
      <w:r w:rsidRPr="002C0D7A">
        <w:rPr>
          <w:rFonts w:eastAsia="Times New Roman" w:cs="Times New Roman"/>
          <w:sz w:val="28"/>
          <w:szCs w:val="24"/>
          <w:lang w:eastAsia="ru-RU"/>
        </w:rPr>
        <w:br/>
      </w:r>
    </w:p>
    <w:p w:rsidR="002C0D7A" w:rsidRDefault="002C0D7A" w:rsidP="002C0D7A">
      <w:pPr>
        <w:spacing w:before="100" w:beforeAutospacing="1" w:after="100" w:afterAutospacing="1" w:line="720" w:lineRule="auto"/>
        <w:rPr>
          <w:rFonts w:eastAsia="Times New Roman" w:cs="Times New Roman"/>
          <w:sz w:val="28"/>
          <w:szCs w:val="24"/>
          <w:lang w:eastAsia="ru-RU"/>
        </w:rPr>
      </w:pPr>
    </w:p>
    <w:p w:rsidR="002C0D7A" w:rsidRPr="002C0D7A" w:rsidRDefault="002C0D7A" w:rsidP="002C0D7A">
      <w:pPr>
        <w:spacing w:before="100" w:beforeAutospacing="1" w:after="100" w:afterAutospacing="1" w:line="720" w:lineRule="auto"/>
        <w:rPr>
          <w:rFonts w:eastAsia="Times New Roman" w:cs="Times New Roman"/>
          <w:sz w:val="28"/>
          <w:szCs w:val="24"/>
          <w:lang w:eastAsia="ru-RU"/>
        </w:rPr>
      </w:pPr>
    </w:p>
    <w:p w:rsidR="002C0D7A" w:rsidRPr="002C0D7A" w:rsidRDefault="002C0D7A" w:rsidP="002C0D7A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C0D7A" w:rsidRPr="002C0D7A" w:rsidRDefault="002C0D7A" w:rsidP="002C0D7A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t>РЕКОМЕНДАЦИИ</w:t>
      </w: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br/>
        <w:t>ПО ПОРЯДКУ КОМПЛЕКТОВАНИЯ ОБРАЗОВАТЕЛЬНЫХ УЧРЕЖДЕНИЙ,</w:t>
      </w: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br/>
        <w:t>РЕАЛИЗУЮЩИХ ОСНОВНУЮ ОБЩЕОБРАЗОВАТЕЛЬНУЮ ПРОГРАММУ</w:t>
      </w: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br/>
        <w:t>ДОШКОЛЬНОГО ОБРАЗОВАНИЯ</w:t>
      </w:r>
    </w:p>
    <w:p w:rsidR="002C0D7A" w:rsidRPr="002C0D7A" w:rsidRDefault="002C0D7A" w:rsidP="002C0D7A">
      <w:pPr>
        <w:spacing w:line="36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t>I. Понятийная база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В рекомендациях используются следующие понятия: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Учет детей,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2. Под очередностью 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 единый информационный ресурс (ЕИР), аккумулирующий данные о численности детей, поставленных на учет во всех городских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округах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(муниципальных районах), расположенных на территории субъекта Российской Федерации.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4. Под порядком комплектования ДОУ понимается последовательность действий учредителя при формировании контингента воспитанников дошкольных учреждений,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осуществляемых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</w:p>
    <w:p w:rsidR="002C0D7A" w:rsidRDefault="002C0D7A" w:rsidP="002C0D7A">
      <w:pPr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0D7A" w:rsidRPr="002C0D7A" w:rsidRDefault="002C0D7A" w:rsidP="002C0D7A">
      <w:pPr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t>II. Рекомендации по учету детей, нуждающихся</w:t>
      </w: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br/>
        <w:t>в предоставлении места в ДОУ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1. Учет осуществляется в целях обеспечения "прозрачности" процедуры приема детей в ДОУ, избежания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2. Учет осуществляется в порядке, установленном органами местного самоуправления муниципальных районов и городских округов. Учет осуществляе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т(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ют) уполномоченный(ые) органами местного самоуправления орган(ны) или организация(ии) (далее - уполномоченный орган или организация). Учет может производиться на электронном и (или) бумажном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носителях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3. Учет включает: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погодового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систематическое обновление реестра с учетом предоставления детям мест в ДОУ;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органа или организации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5. 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е(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>ые)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отдельный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ЕИР для муниципальной или региональной медико-психолого-педагогической комиссии (далее - ПМПК).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После регистрации заявления в ЕИР ребенок направляется на обследование в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муниципальную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даты места в ДОУ (далее - сертификат)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Сертификат содержит информацию: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>о регистрационном номере заявления о постановке на учет;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ДОУ).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предоставления ребенку места с 1 сентября календарного года).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изменить ранее выбранный год поступления ребенка в ДОУ;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изменить выбранные ранее учреждения;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изменить сведения о льготе;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изменить данные о ребенке (смена фамилии, имени, отчества, адреса).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11. Дети, родители (законные представители) которых имеют право на внеочередное зачисление ребенка в учреждение: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прокуроров (Федеральный закон от 17 января 1992 г. № 2202-1 "О прокуратуре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судей (Закон Российской Федерации от 26 июня 1992 г. № 3132-1 "О статусе судей в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12. Дети, родители (законные представители) которых имеют право на первоочередное зачисление ребенка в учреждение: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сотрудников полиции (Федеральный закон от 7 февраля 2011 г. № 3-ФЗ "О полиции");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Федерации");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гарантиях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дальнейшего прохождения службы в учреждениях и органах (Федеральный закон от </w:t>
      </w: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>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2C0D7A" w:rsidRDefault="002C0D7A" w:rsidP="002C0D7A">
      <w:pPr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C0D7A" w:rsidRPr="002C0D7A" w:rsidRDefault="002C0D7A" w:rsidP="002C0D7A">
      <w:pPr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C0D7A">
        <w:rPr>
          <w:rFonts w:eastAsia="Times New Roman" w:cs="Times New Roman"/>
          <w:b/>
          <w:bCs/>
          <w:sz w:val="24"/>
          <w:szCs w:val="24"/>
          <w:lang w:eastAsia="ru-RU"/>
        </w:rPr>
        <w:t>III. Рекомендации по порядку комплектования ДОУ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13.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 &lt;1&gt;.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&lt;1&gt; Пункт 25 Типового положения о дошкольном образовательном учреждении, утвержденного приказом Министерства образования и науки Российской Федерации от 27 октября 2011 г. № 2562 (зарегистрировано в Министерстве юстиции Российской Федерации 18 января 2012 г., регистрационный № 22946) ("Российская газета", 2012, № 15).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 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15. В остальное время производится комплектование ДОУ на свободные (освободившиеся, вновь созданные) места.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нуждающихся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в месте в ДОУ с 1 сентября следующего календарного года.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19. При отсутствии свободных мест в выбранных ДОУ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из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предложенных.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lastRenderedPageBreak/>
        <w:t xml:space="preserve">20.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21. В случае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2C0D7A">
        <w:rPr>
          <w:rFonts w:eastAsia="Times New Roman" w:cs="Times New Roman"/>
          <w:sz w:val="24"/>
          <w:szCs w:val="24"/>
          <w:lang w:eastAsia="ru-RU"/>
        </w:rPr>
        <w:t xml:space="preserve">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2C0D7A">
        <w:rPr>
          <w:rFonts w:eastAsia="Times New Roman" w:cs="Times New Roman"/>
          <w:sz w:val="24"/>
          <w:szCs w:val="24"/>
          <w:lang w:eastAsia="ru-RU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23. Учредитель извещает родителей (законных представителей) детей: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о времени предоставления ребенку места в ДОУ;</w:t>
      </w:r>
    </w:p>
    <w:p w:rsidR="002C0D7A" w:rsidRPr="002C0D7A" w:rsidRDefault="002C0D7A" w:rsidP="002C0D7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0D7A">
        <w:rPr>
          <w:rFonts w:eastAsia="Times New Roman" w:cs="Times New Roman"/>
          <w:sz w:val="24"/>
          <w:szCs w:val="24"/>
          <w:lang w:eastAsia="ru-RU"/>
        </w:rP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руководителю ДОУ для приема ребенка в ДОУ, и о сроках приема руководителем ДОУ указанных документов.</w:t>
      </w:r>
    </w:p>
    <w:p w:rsidR="003D2617" w:rsidRDefault="003D2617"/>
    <w:sectPr w:rsidR="003D2617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0D7A"/>
    <w:rsid w:val="002C0D7A"/>
    <w:rsid w:val="003D2617"/>
    <w:rsid w:val="004F0F84"/>
    <w:rsid w:val="006C7E01"/>
    <w:rsid w:val="008A2BBD"/>
    <w:rsid w:val="008E3C5D"/>
    <w:rsid w:val="00EC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2C0D7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0D7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0D7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C0D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C0D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2C0D7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0D7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0D7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C0D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C0D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2013-12-03T12:18:00Z</cp:lastPrinted>
  <dcterms:created xsi:type="dcterms:W3CDTF">2015-02-08T20:26:00Z</dcterms:created>
  <dcterms:modified xsi:type="dcterms:W3CDTF">2015-02-08T20:26:00Z</dcterms:modified>
</cp:coreProperties>
</file>