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97" w:rsidRPr="00796980" w:rsidRDefault="002D34A2">
      <w:pPr>
        <w:rPr>
          <w:b/>
          <w:i/>
        </w:rPr>
      </w:pPr>
      <w:r w:rsidRPr="00796980">
        <w:rPr>
          <w:b/>
          <w:i/>
        </w:rPr>
        <w:t xml:space="preserve">                                             </w:t>
      </w:r>
      <w:r w:rsidR="00E300DF" w:rsidRPr="00796980">
        <w:rPr>
          <w:b/>
          <w:i/>
        </w:rPr>
        <w:t xml:space="preserve">                     </w:t>
      </w:r>
      <w:r w:rsidRPr="00796980">
        <w:rPr>
          <w:b/>
          <w:i/>
        </w:rPr>
        <w:t xml:space="preserve"> О Т Ч Е Т </w:t>
      </w:r>
    </w:p>
    <w:p w:rsidR="00E300DF" w:rsidRPr="00796980" w:rsidRDefault="00E300DF">
      <w:pPr>
        <w:rPr>
          <w:b/>
          <w:i/>
        </w:rPr>
      </w:pPr>
      <w:r w:rsidRPr="00796980">
        <w:rPr>
          <w:b/>
          <w:i/>
        </w:rPr>
        <w:t xml:space="preserve">                         </w:t>
      </w:r>
      <w:r w:rsidR="002D34A2" w:rsidRPr="00796980">
        <w:rPr>
          <w:b/>
          <w:i/>
        </w:rPr>
        <w:t xml:space="preserve">О   Р Е З У Л Ь Т А Т А Х   С А М О </w:t>
      </w:r>
      <w:proofErr w:type="spellStart"/>
      <w:proofErr w:type="gramStart"/>
      <w:r w:rsidR="002D34A2" w:rsidRPr="00796980">
        <w:rPr>
          <w:b/>
          <w:i/>
        </w:rPr>
        <w:t>О</w:t>
      </w:r>
      <w:proofErr w:type="spellEnd"/>
      <w:proofErr w:type="gramEnd"/>
      <w:r w:rsidR="002D34A2" w:rsidRPr="00796980">
        <w:rPr>
          <w:b/>
          <w:i/>
        </w:rPr>
        <w:t xml:space="preserve"> Б С Л Е Д О В А Н И Я</w:t>
      </w:r>
      <w:r w:rsidRPr="00796980">
        <w:rPr>
          <w:b/>
          <w:i/>
        </w:rPr>
        <w:t xml:space="preserve"> </w:t>
      </w:r>
    </w:p>
    <w:p w:rsidR="002D34A2" w:rsidRPr="00796980" w:rsidRDefault="00E300DF">
      <w:pPr>
        <w:rPr>
          <w:b/>
          <w:i/>
        </w:rPr>
      </w:pPr>
      <w:r w:rsidRPr="00796980">
        <w:rPr>
          <w:b/>
          <w:i/>
        </w:rPr>
        <w:t xml:space="preserve">           ДЕТЕЙ ПОДГОТОВИТ</w:t>
      </w:r>
      <w:r w:rsidR="005026E4">
        <w:rPr>
          <w:b/>
          <w:i/>
        </w:rPr>
        <w:t>ЕЛЬНОЙ ГРУППЫ МБДОУ № 16 за 2012</w:t>
      </w:r>
      <w:r w:rsidRPr="00796980">
        <w:rPr>
          <w:b/>
          <w:i/>
        </w:rPr>
        <w:t xml:space="preserve"> – 2013 </w:t>
      </w:r>
      <w:proofErr w:type="spellStart"/>
      <w:r w:rsidRPr="00796980">
        <w:rPr>
          <w:b/>
          <w:i/>
        </w:rPr>
        <w:t>уч</w:t>
      </w:r>
      <w:proofErr w:type="spellEnd"/>
      <w:r w:rsidRPr="00796980">
        <w:rPr>
          <w:b/>
          <w:i/>
        </w:rPr>
        <w:t>. г.</w:t>
      </w:r>
      <w:proofErr w:type="gramStart"/>
      <w:r w:rsidRPr="00796980">
        <w:rPr>
          <w:b/>
          <w:i/>
        </w:rPr>
        <w:t>г</w:t>
      </w:r>
      <w:proofErr w:type="gramEnd"/>
      <w:r w:rsidRPr="00796980">
        <w:rPr>
          <w:b/>
          <w:i/>
        </w:rPr>
        <w:t>.</w:t>
      </w:r>
    </w:p>
    <w:p w:rsidR="00E300DF" w:rsidRPr="00796980" w:rsidRDefault="00E300DF">
      <w:pPr>
        <w:rPr>
          <w:b/>
          <w:i/>
        </w:rPr>
      </w:pPr>
      <w:r w:rsidRPr="00796980">
        <w:rPr>
          <w:b/>
          <w:i/>
        </w:rPr>
        <w:t xml:space="preserve">                                </w:t>
      </w:r>
    </w:p>
    <w:p w:rsidR="002D34A2" w:rsidRDefault="00E300DF">
      <w:r>
        <w:t xml:space="preserve">   </w:t>
      </w:r>
      <w:r w:rsidR="002D34A2">
        <w:t>Эффективность  реализуемых программ и качество дошкольного образования определяет  мониторинг, который помогает грамотно планировать  и дальнейшую деятельность дошкольного учреждения.</w:t>
      </w:r>
    </w:p>
    <w:p w:rsidR="00E300DF" w:rsidRDefault="00E300DF">
      <w:r>
        <w:t xml:space="preserve">   </w:t>
      </w:r>
      <w:r w:rsidR="002D34A2">
        <w:t xml:space="preserve">Изучение интегративных показателей развития детей подготовительной группы  свидетельствует о позитивной динамике, так как  у 78% высокий уровень, 22%- средний. </w:t>
      </w:r>
    </w:p>
    <w:p w:rsidR="002D34A2" w:rsidRDefault="00E300DF">
      <w:r>
        <w:t xml:space="preserve">      </w:t>
      </w:r>
      <w:r w:rsidR="002D34A2">
        <w:t>Готовность к обучению в школе</w:t>
      </w:r>
      <w:r w:rsidR="005014D2">
        <w:t xml:space="preserve">  исследуется педагогом </w:t>
      </w:r>
      <w:r>
        <w:t xml:space="preserve">- </w:t>
      </w:r>
      <w:r w:rsidR="005014D2">
        <w:t>психологом  и учителем</w:t>
      </w:r>
      <w:r>
        <w:t xml:space="preserve"> </w:t>
      </w:r>
      <w:r w:rsidR="005014D2">
        <w:t>-</w:t>
      </w:r>
      <w:r>
        <w:t xml:space="preserve"> </w:t>
      </w:r>
      <w:r w:rsidR="005014D2">
        <w:t>логопедом.  У</w:t>
      </w:r>
      <w:r>
        <w:t xml:space="preserve"> </w:t>
      </w:r>
      <w:r w:rsidR="005014D2">
        <w:t xml:space="preserve">91% детей были выявлены проблемы речевого развития, которые перед  школой у 95% детей были скорректированы.  Улучшились показатели потенциальных возможностей выпускников: </w:t>
      </w:r>
      <w:r>
        <w:t xml:space="preserve"> </w:t>
      </w:r>
      <w:r w:rsidR="005014D2">
        <w:t>у 95% высокий и средний уровень развития внимания;  у95% зрительная память</w:t>
      </w:r>
      <w:r w:rsidR="008D2ECC">
        <w:t xml:space="preserve">  выше средних показателей;</w:t>
      </w:r>
      <w:r>
        <w:t xml:space="preserve"> </w:t>
      </w:r>
      <w:r w:rsidR="008D2ECC">
        <w:t xml:space="preserve"> мыслительные способности у 86% соответс</w:t>
      </w:r>
      <w:r>
        <w:t>твуют среднему  и выше среднего уровня.</w:t>
      </w:r>
    </w:p>
    <w:p w:rsidR="00E300DF" w:rsidRDefault="00E300DF">
      <w:r>
        <w:t xml:space="preserve">   </w:t>
      </w:r>
    </w:p>
    <w:p w:rsidR="00E300DF" w:rsidRDefault="00E300DF">
      <w:r>
        <w:t xml:space="preserve">          МОНИТОРИНГ КАЧЕСТВА ОСВОЕНИЯ РЕАЛИЗУЕМЫХ ОБРАЗОВАТЕЛЬНЫХ ПРОГРАММ</w:t>
      </w:r>
    </w:p>
    <w:tbl>
      <w:tblPr>
        <w:tblStyle w:val="a3"/>
        <w:tblW w:w="0" w:type="auto"/>
        <w:tblLook w:val="04A0"/>
      </w:tblPr>
      <w:tblGrid>
        <w:gridCol w:w="1063"/>
        <w:gridCol w:w="2669"/>
        <w:gridCol w:w="2472"/>
        <w:gridCol w:w="1429"/>
        <w:gridCol w:w="969"/>
        <w:gridCol w:w="969"/>
      </w:tblGrid>
      <w:tr w:rsidR="00796980" w:rsidTr="005026E4">
        <w:trPr>
          <w:trHeight w:val="1152"/>
        </w:trPr>
        <w:tc>
          <w:tcPr>
            <w:tcW w:w="1063" w:type="dxa"/>
          </w:tcPr>
          <w:p w:rsidR="00E300DF" w:rsidRDefault="00796980">
            <w:r>
              <w:t>Уровень развития</w:t>
            </w:r>
          </w:p>
        </w:tc>
        <w:tc>
          <w:tcPr>
            <w:tcW w:w="2669" w:type="dxa"/>
          </w:tcPr>
          <w:p w:rsidR="00E300DF" w:rsidRDefault="00796980">
            <w:r>
              <w:t xml:space="preserve">Формирование интегративных показателей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2472" w:type="dxa"/>
          </w:tcPr>
          <w:p w:rsidR="00E300DF" w:rsidRDefault="00796980">
            <w:r>
              <w:t xml:space="preserve">Речевое развитие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3367" w:type="dxa"/>
            <w:gridSpan w:val="3"/>
          </w:tcPr>
          <w:p w:rsidR="00E300DF" w:rsidRDefault="00796980">
            <w:r>
              <w:t xml:space="preserve">Развитие когнитивной сферы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11833" w:rsidTr="005026E4">
        <w:trPr>
          <w:trHeight w:val="849"/>
        </w:trPr>
        <w:tc>
          <w:tcPr>
            <w:tcW w:w="1063" w:type="dxa"/>
          </w:tcPr>
          <w:p w:rsidR="00711833" w:rsidRDefault="00711833"/>
        </w:tc>
        <w:tc>
          <w:tcPr>
            <w:tcW w:w="2669" w:type="dxa"/>
          </w:tcPr>
          <w:p w:rsidR="00711833" w:rsidRDefault="00711833"/>
        </w:tc>
        <w:tc>
          <w:tcPr>
            <w:tcW w:w="2472" w:type="dxa"/>
          </w:tcPr>
          <w:p w:rsidR="00711833" w:rsidRDefault="00711833"/>
        </w:tc>
        <w:tc>
          <w:tcPr>
            <w:tcW w:w="1429" w:type="dxa"/>
          </w:tcPr>
          <w:p w:rsidR="00711833" w:rsidRDefault="005026E4">
            <w:r>
              <w:t>Внима</w:t>
            </w:r>
            <w:r w:rsidR="00711833">
              <w:t>ние</w:t>
            </w:r>
          </w:p>
        </w:tc>
        <w:tc>
          <w:tcPr>
            <w:tcW w:w="969" w:type="dxa"/>
          </w:tcPr>
          <w:p w:rsidR="00711833" w:rsidRDefault="00711833">
            <w:r>
              <w:t>Память</w:t>
            </w:r>
          </w:p>
        </w:tc>
        <w:tc>
          <w:tcPr>
            <w:tcW w:w="969" w:type="dxa"/>
          </w:tcPr>
          <w:p w:rsidR="00711833" w:rsidRDefault="00711833">
            <w:proofErr w:type="spellStart"/>
            <w:r>
              <w:t>Мыс-ные</w:t>
            </w:r>
            <w:proofErr w:type="spellEnd"/>
          </w:p>
          <w:p w:rsidR="00711833" w:rsidRDefault="00711833">
            <w:proofErr w:type="spellStart"/>
            <w:r>
              <w:t>спос-ти</w:t>
            </w:r>
            <w:proofErr w:type="spellEnd"/>
          </w:p>
        </w:tc>
      </w:tr>
      <w:tr w:rsidR="00711833" w:rsidTr="005026E4">
        <w:trPr>
          <w:trHeight w:val="844"/>
        </w:trPr>
        <w:tc>
          <w:tcPr>
            <w:tcW w:w="1063" w:type="dxa"/>
          </w:tcPr>
          <w:p w:rsidR="00711833" w:rsidRDefault="00711833"/>
          <w:p w:rsidR="00711833" w:rsidRDefault="00711833">
            <w:r>
              <w:t>СУР</w:t>
            </w:r>
          </w:p>
        </w:tc>
        <w:tc>
          <w:tcPr>
            <w:tcW w:w="2669" w:type="dxa"/>
          </w:tcPr>
          <w:p w:rsidR="00711833" w:rsidRDefault="00711833"/>
          <w:p w:rsidR="00711833" w:rsidRDefault="00711833">
            <w:r>
              <w:t xml:space="preserve">                   22%         </w:t>
            </w:r>
          </w:p>
        </w:tc>
        <w:tc>
          <w:tcPr>
            <w:tcW w:w="2472" w:type="dxa"/>
          </w:tcPr>
          <w:p w:rsidR="00711833" w:rsidRDefault="00711833"/>
          <w:p w:rsidR="00711833" w:rsidRDefault="00711833">
            <w:r>
              <w:t xml:space="preserve">                  5 %</w:t>
            </w:r>
          </w:p>
        </w:tc>
        <w:tc>
          <w:tcPr>
            <w:tcW w:w="1429" w:type="dxa"/>
          </w:tcPr>
          <w:p w:rsidR="00711833" w:rsidRDefault="00711833"/>
          <w:p w:rsidR="00711833" w:rsidRDefault="00711833">
            <w:r>
              <w:t xml:space="preserve">  5 %</w:t>
            </w:r>
          </w:p>
        </w:tc>
        <w:tc>
          <w:tcPr>
            <w:tcW w:w="969" w:type="dxa"/>
          </w:tcPr>
          <w:p w:rsidR="00711833" w:rsidRDefault="00711833"/>
          <w:p w:rsidR="00711833" w:rsidRDefault="00711833">
            <w:r>
              <w:t xml:space="preserve">   5%</w:t>
            </w:r>
          </w:p>
        </w:tc>
        <w:tc>
          <w:tcPr>
            <w:tcW w:w="969" w:type="dxa"/>
          </w:tcPr>
          <w:p w:rsidR="00711833" w:rsidRDefault="00711833"/>
          <w:p w:rsidR="00711833" w:rsidRDefault="00711833">
            <w:r>
              <w:t xml:space="preserve">   14 %</w:t>
            </w:r>
          </w:p>
          <w:p w:rsidR="00711833" w:rsidRDefault="00711833"/>
        </w:tc>
      </w:tr>
      <w:tr w:rsidR="00711833" w:rsidTr="005026E4">
        <w:trPr>
          <w:trHeight w:val="843"/>
        </w:trPr>
        <w:tc>
          <w:tcPr>
            <w:tcW w:w="1063" w:type="dxa"/>
          </w:tcPr>
          <w:p w:rsidR="00711833" w:rsidRDefault="00711833"/>
          <w:p w:rsidR="00711833" w:rsidRDefault="00711833">
            <w:r>
              <w:t>ВСУР + ВУР</w:t>
            </w:r>
          </w:p>
        </w:tc>
        <w:tc>
          <w:tcPr>
            <w:tcW w:w="2669" w:type="dxa"/>
          </w:tcPr>
          <w:p w:rsidR="00711833" w:rsidRDefault="00711833"/>
          <w:p w:rsidR="00711833" w:rsidRDefault="00711833">
            <w:r>
              <w:t xml:space="preserve">                    78%</w:t>
            </w:r>
          </w:p>
        </w:tc>
        <w:tc>
          <w:tcPr>
            <w:tcW w:w="2472" w:type="dxa"/>
          </w:tcPr>
          <w:p w:rsidR="00711833" w:rsidRDefault="00711833"/>
          <w:p w:rsidR="00711833" w:rsidRDefault="00711833">
            <w:r>
              <w:t xml:space="preserve">                95%</w:t>
            </w:r>
          </w:p>
        </w:tc>
        <w:tc>
          <w:tcPr>
            <w:tcW w:w="1429" w:type="dxa"/>
          </w:tcPr>
          <w:p w:rsidR="00711833" w:rsidRDefault="00711833"/>
          <w:p w:rsidR="00711833" w:rsidRDefault="00711833">
            <w:r>
              <w:t xml:space="preserve">   95 %</w:t>
            </w:r>
          </w:p>
        </w:tc>
        <w:tc>
          <w:tcPr>
            <w:tcW w:w="969" w:type="dxa"/>
          </w:tcPr>
          <w:p w:rsidR="00711833" w:rsidRDefault="00711833"/>
          <w:p w:rsidR="00711833" w:rsidRDefault="00711833">
            <w:r>
              <w:t xml:space="preserve">   95 %</w:t>
            </w:r>
          </w:p>
        </w:tc>
        <w:tc>
          <w:tcPr>
            <w:tcW w:w="969" w:type="dxa"/>
          </w:tcPr>
          <w:p w:rsidR="00711833" w:rsidRDefault="00711833"/>
          <w:p w:rsidR="00711833" w:rsidRDefault="00711833">
            <w:r>
              <w:t xml:space="preserve">   86 %</w:t>
            </w:r>
          </w:p>
        </w:tc>
      </w:tr>
    </w:tbl>
    <w:p w:rsidR="00E300DF" w:rsidRDefault="00E300DF"/>
    <w:p w:rsidR="00796980" w:rsidRDefault="00796980">
      <w:r>
        <w:t>СУР – средний уровень развития</w:t>
      </w:r>
    </w:p>
    <w:p w:rsidR="00796980" w:rsidRDefault="00796980">
      <w:r>
        <w:t>ВСУР – выше среднего уровня развития</w:t>
      </w:r>
    </w:p>
    <w:p w:rsidR="00796980" w:rsidRDefault="00796980">
      <w:r>
        <w:t>ВУР – высокий уровень развития</w:t>
      </w:r>
    </w:p>
    <w:sectPr w:rsidR="00796980" w:rsidSect="0038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4A2"/>
    <w:rsid w:val="000E2A47"/>
    <w:rsid w:val="002D34A2"/>
    <w:rsid w:val="00380597"/>
    <w:rsid w:val="00385F1D"/>
    <w:rsid w:val="005014D2"/>
    <w:rsid w:val="005026E4"/>
    <w:rsid w:val="005A2C89"/>
    <w:rsid w:val="006731EB"/>
    <w:rsid w:val="006E3BA3"/>
    <w:rsid w:val="00711833"/>
    <w:rsid w:val="00796980"/>
    <w:rsid w:val="008D2ECC"/>
    <w:rsid w:val="00B1769C"/>
    <w:rsid w:val="00BD22A9"/>
    <w:rsid w:val="00E064F6"/>
    <w:rsid w:val="00E300DF"/>
    <w:rsid w:val="00F6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notebook</cp:lastModifiedBy>
  <cp:revision>2</cp:revision>
  <cp:lastPrinted>2013-12-19T06:51:00Z</cp:lastPrinted>
  <dcterms:created xsi:type="dcterms:W3CDTF">2015-04-20T19:03:00Z</dcterms:created>
  <dcterms:modified xsi:type="dcterms:W3CDTF">2015-04-20T19:03:00Z</dcterms:modified>
</cp:coreProperties>
</file>